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0.png" ContentType="image/png"/>
  <Override PartName="/word/header1.xml" ContentType="application/vnd.openxmlformats-officedocument.wordprocessingml.head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lang w:val="zh-CN"/>
        </w:rPr>
        <w:t xml:space="preserve">2026 </w:t>
      </w:r>
      <w:r>
        <w:rPr>
          <w:rFonts w:hint="eastAsia"/>
          <w:lang w:val="zh-CN"/>
        </w:rPr>
        <w:t xml:space="preserve">年第三季度经营分析报告</w:t>
      </w:r>
    </w:p>
    <w:p>
      <w:pPr>
        <w:pStyle w:val="Subtitle"/>
      </w:pPr>
      <w:r>
        <w:rPr>
          <w:rFonts w:hint="eastAsia"/>
          <w:lang w:val="zh-CN"/>
        </w:rPr>
        <w:t xml:space="preserve">星河科技集团</w:t>
      </w:r>
      <w:r>
        <w:rPr>
          <w:lang w:val="zh-CN"/>
        </w:rPr>
        <w:t xml:space="preserve"> · </w:t>
      </w:r>
      <w:r>
        <w:rPr>
          <w:rFonts w:hint="eastAsia"/>
          <w:lang w:val="zh-CN"/>
        </w:rPr>
        <w:t xml:space="preserve">董事会季度汇报材料</w:t>
      </w:r>
    </w:p>
    <w:p>
      <w:pPr>
        <w:pStyle w:val="Author"/>
      </w:pPr>
      <w:r>
        <w:rPr>
          <w:rFonts w:hint="eastAsia"/>
          <w:lang w:val="zh-CN"/>
        </w:rPr>
        <w:t xml:space="preserve">经营管理部</w:t>
      </w:r>
      <w:r>
        <w:rPr>
          <w:lang w:val="zh-CN"/>
        </w:rPr>
        <w:t xml:space="preserve">　</w:t>
      </w:r>
      <w:r>
        <w:rPr>
          <w:rFonts w:hint="eastAsia"/>
          <w:lang w:val="zh-CN"/>
        </w:rPr>
        <w:t xml:space="preserve">财务部</w:t>
      </w:r>
    </w:p>
    <w:p>
      <w:pPr>
        <w:pStyle w:val="Date"/>
      </w:pPr>
      <w:r>
        <w:rPr>
          <w:lang w:val="zh-CN"/>
        </w:rPr>
        <w:t xml:space="preserve">2026-10-15</w:t>
      </w:r>
    </w:p>
    <w:p>
      <w:pPr>
        <w:pStyle w:val="Heading1"/>
      </w:pPr>
      <w:bookmarkStart w:id="17" w:name="sec_kpi"/>
      <w:r>
        <w:rPr>
          <w:rStyle w:val="SectionNumber"/>
          <w:lang w:val="zh-CN"/>
        </w:rPr>
        <w:t xml:space="preserve">1</w:t>
      </w:r>
      <w:r>
        <w:tab/>
      </w:r>
      <w:r>
        <w:rPr>
          <w:rFonts w:hint="eastAsia"/>
          <w:lang w:val="zh-CN"/>
        </w:rPr>
        <w:t xml:space="preserve">核心指标</w:t>
      </w:r>
      <w:bookmarkEnd w:id="17"/>
    </w:p>
    <w:p>
      <w:pPr>
        <w:pStyle w:val="FirstParagraph"/>
      </w:pPr>
      <w:r>
        <w:rPr>
          <w:rFonts w:hint="eastAsia"/>
          <w:lang w:val="zh-CN"/>
        </w:rPr>
        <w:t xml:space="preserve">第三季度集团实现营业收入</w:t>
      </w:r>
      <w:r>
        <w:rPr>
          <w:lang w:val="zh-CN"/>
        </w:rPr>
        <w:t xml:space="preserve"> </w:t>
      </w:r>
      <w:r>
        <w:rPr>
          <w:b/>
          <w:bCs/>
          <w:lang w:val="zh-CN"/>
        </w:rPr>
        <w:t xml:space="preserve">4.86 </w:t>
      </w:r>
      <w:r>
        <w:rPr>
          <w:rFonts w:hint="eastAsia"/>
          <w:b/>
          <w:bCs/>
          <w:lang w:val="zh-CN"/>
        </w:rPr>
        <w:t xml:space="preserve">亿元</w:t>
      </w:r>
      <w:r>
        <w:rPr>
          <w:rFonts w:hint="eastAsia"/>
          <w:lang w:val="zh-CN"/>
        </w:rPr>
        <w:t xml:space="preserve">，同比</w:t>
      </w:r>
      <w:r>
        <w:rPr>
          <w:lang w:val="zh-CN"/>
        </w:rPr>
        <w:t xml:space="preserve"> </w:t>
      </w:r>
      <w:r>
        <w:rPr>
          <w:rStyle w:val="DFChar5"/>
          <w:lang w:val="zh-CN"/>
        </w:rPr>
        <w:t xml:space="preserve">▲ 18.4%</w:t>
      </w:r>
      <w:r>
        <w:rPr>
          <w:rFonts w:hint="eastAsia"/>
          <w:lang w:val="zh-CN"/>
        </w:rPr>
        <w:t xml:space="preserve">，连续第</w:t>
      </w:r>
      <w:r>
        <w:rPr>
          <w:lang w:val="zh-CN"/>
        </w:rPr>
        <w:t xml:space="preserve"> </w:t>
      </w:r>
      <w:r>
        <w:rPr>
          <w:b/>
          <w:bCs/>
          <w:lang w:val="zh-CN"/>
        </w:rPr>
        <w:t xml:space="preserve">6</w:t>
      </w:r>
      <w:r>
        <w:rPr>
          <w:lang w:val="zh-CN"/>
        </w:rPr>
        <w:t xml:space="preserve"> </w:t>
      </w:r>
      <w:r>
        <w:rPr>
          <w:rFonts w:hint="eastAsia"/>
          <w:lang w:val="zh-CN"/>
        </w:rPr>
        <w:t xml:space="preserve">个季度保持两位数增长；毛利率</w:t>
      </w:r>
      <w:r>
        <w:rPr>
          <w:lang w:val="zh-CN"/>
        </w:rPr>
        <w:t xml:space="preserve"> </w:t>
      </w:r>
      <w:r>
        <w:rPr>
          <w:rStyle w:val="DFChar6"/>
          <w:lang w:val="zh-CN"/>
        </w:rPr>
        <w:t xml:space="preserve">32.7%</w:t>
      </w:r>
      <w:r>
        <w:rPr>
          <w:rFonts w:hint="eastAsia"/>
          <w:lang w:val="zh-CN"/>
        </w:rPr>
        <w:t xml:space="preserve">，创上市以来新高。经营现金流首次超过净利润，</w:t>
      </w:r>
      <w:r>
        <w:rPr>
          <w:rFonts w:hint="eastAsia"/>
          <w:u w:val="single"/>
          <w:lang w:val="zh-CN"/>
        </w:rPr>
        <w:t xml:space="preserve">应收账款周转天数</w:t>
      </w:r>
      <w:r>
        <w:rPr>
          <w:rFonts w:hint="eastAsia"/>
          <w:lang w:val="zh-CN"/>
        </w:rPr>
        <w:t xml:space="preserve">仍高于目标，列为第四季度重点</w:t>
      </w:r>
      <w:r>
        <w:rPr>
          <w:rStyle w:val="FootnoteReference"/>
        </w:rPr>
        <w:footnoteReference w:id="9"/>
      </w:r>
      <w:r>
        <w:rPr>
          <w:lang w:val="zh-CN"/>
        </w:rPr>
        <w:t xml:space="preserve">。</w:t>
      </w:r>
    </w:p>
    <w:p>
      <w:pPr>
        <w:pStyle w:val="CaptionedFigure"/>
      </w:pPr>
      <w:bookmarkStart w:id="14" w:name="fig_dash"/>
      <w:r>
        <w:drawing>
          <wp:inline>
            <wp:extent cx="5753100" cy="3835400"/>
            <wp:effectExtent b="0" l="0" r="0" t="0"/>
            <wp:docPr descr="第三季度经营仪表盘：(a) 分产品月度收入与毛利率；(b) 收入结构；(c) 分区域增速；(d) 净利润变动" title="" id="11" name="Picture"/>
            <a:graphic>
              <a:graphicData uri="http://schemas.openxmlformats.org/drawingml/2006/picture">
                <pic:pic>
                  <pic:nvPicPr>
                    <pic:cNvPr descr="/var/folders/bl/5n_h09gn4dsd1gktj5qcv54w0000gn/T/docforge-ql6ugcwb/media-docx/image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835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14"/>
    </w:p>
    <w:p>
      <w:pPr>
        <w:pStyle w:val="ImageCaption"/>
      </w:pPr>
      <w:bookmarkStart w:id="13" w:name="ref_fig_dash"/>
      <w:r>
        <w:rPr>
          <w:rFonts w:hint="eastAsia"/>
          <w:lang w:val="zh-CN"/>
        </w:rPr>
        <w:t xml:space="preserve">图</w:t>
      </w:r>
      <w:r>
        <w:rPr>
          <w:lang w:val="zh-CN"/>
        </w:rPr>
        <w:t xml:space="preserve"> </w:t>
      </w:r>
      <w:fldSimple w:instr="SEQ Figure \* ARABIC ">
        <w:r>
          <w:t>1</w:t>
        </w:r>
      </w:fldSimple>
      <w:bookmarkEnd w:id="13"/>
      <w:r>
        <w:rPr>
          <w:lang w:val="zh-CN"/>
        </w:rPr>
        <w:t xml:space="preserve">　</w:t>
      </w:r>
      <w:r>
        <w:rPr>
          <w:rFonts w:hint="eastAsia"/>
          <w:lang w:val="zh-CN"/>
        </w:rPr>
        <w:t xml:space="preserve">第三季度经营仪表盘：(a)</w:t>
      </w:r>
      <w:r>
        <w:rPr>
          <w:lang w:val="zh-CN"/>
        </w:rPr>
        <w:t xml:space="preserve"> </w:t>
      </w:r>
      <w:r>
        <w:rPr>
          <w:rFonts w:hint="eastAsia"/>
          <w:lang w:val="zh-CN"/>
        </w:rPr>
        <w:t xml:space="preserve">分产品月度收入与毛利率；(b)</w:t>
      </w:r>
      <w:r>
        <w:rPr>
          <w:lang w:val="zh-CN"/>
        </w:rPr>
        <w:t xml:space="preserve"> </w:t>
      </w:r>
      <w:r>
        <w:rPr>
          <w:rFonts w:hint="eastAsia"/>
          <w:lang w:val="zh-CN"/>
        </w:rPr>
        <w:t xml:space="preserve">收入结构；(c)</w:t>
      </w:r>
      <w:r>
        <w:rPr>
          <w:lang w:val="zh-CN"/>
        </w:rPr>
        <w:t xml:space="preserve"> </w:t>
      </w:r>
      <w:r>
        <w:rPr>
          <w:rFonts w:hint="eastAsia"/>
          <w:lang w:val="zh-CN"/>
        </w:rPr>
        <w:t xml:space="preserve">分区域增速；(d)</w:t>
      </w:r>
      <w:r>
        <w:rPr>
          <w:lang w:val="zh-CN"/>
        </w:rPr>
        <w:t xml:space="preserve"> </w:t>
      </w:r>
      <w:r>
        <w:rPr>
          <w:rFonts w:hint="eastAsia"/>
          <w:lang w:val="zh-CN"/>
        </w:rPr>
        <w:t xml:space="preserve">净利润变动</w:t>
      </w:r>
    </w:p>
    <w:p>
      <w:pPr>
        <w:pStyle w:val="TableCaption"/>
      </w:pPr>
      <w:bookmarkStart w:id="16" w:name="tbl_kpi"/>
      <w:bookmarkStart w:id="15" w:name="tbl_kpi"/>
      <w:r>
        <w:rPr>
          <w:rFonts w:hint="eastAsia"/>
          <w:lang w:val="zh-CN"/>
        </w:rPr>
        <w:t xml:space="preserve">表</w:t>
      </w:r>
      <w:r>
        <w:rPr>
          <w:lang w:val="zh-CN"/>
        </w:rPr>
        <w:t xml:space="preserve"> </w:t>
      </w:r>
      <w:fldSimple w:instr="SEQ Table \* ARABIC ">
        <w:r>
          <w:t>1</w:t>
        </w:r>
      </w:fldSimple>
      <w:bookmarkEnd w:id="15"/>
      <w:r>
        <w:rPr>
          <w:lang w:val="zh-CN"/>
        </w:rPr>
        <w:t xml:space="preserve">　</w:t>
      </w:r>
      <w:r>
        <w:rPr>
          <w:rFonts w:hint="eastAsia"/>
          <w:lang w:val="zh-CN"/>
        </w:rPr>
        <w:t xml:space="preserve">第三季度核心指标与预算完成情况</w:t>
      </w:r>
      <w:bookmarkEnd w:id="16"/>
    </w:p>
    <w:tbl>
      <w:tblPr>
        <w:tblStyle w:val="Table"/>
        <w:tblW w:type="dxa" w:w="7409"/>
        <w:jc w:val="center"/>
        <w:tblBorders>
          <w:top w:val="single" w:sz="4" w:space="0" w:color="C9D1DB"/>
          <w:left w:val="single" w:sz="4" w:space="0" w:color="C9D1DB"/>
          <w:bottom w:val="single" w:sz="4" w:space="0" w:color="C9D1DB"/>
          <w:right w:val="single" w:sz="4" w:space="0" w:color="C9D1DB"/>
          <w:insideH w:val="single" w:sz="4" w:space="0" w:color="C9D1DB"/>
          <w:insideV w:val="single" w:sz="4" w:space="0" w:color="C9D1DB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Row="1" w:lastRow="0" w:firstColumn="0" w:lastColumn="0" w:noHBand="0" w:noVBand="0" w:val="0020"/>
        <w:tblCaption w:val="第三季度核心指标与预算完成情况"/>
      </w:tblPr>
      <w:tblGrid>
        <w:gridCol w:w="710"/>
        <w:gridCol w:w="2132"/>
        <w:gridCol w:w="812"/>
        <w:gridCol w:w="812"/>
        <w:gridCol w:w="1015"/>
        <w:gridCol w:w="1015"/>
        <w:gridCol w:w="913"/>
      </w:tblGrid>
      <w:tr>
        <w:trPr>
          <w:cantSplit/>
          <w:tblHeader w:val="on"/>
        </w:trPr>
        <w:tc>
          <w:tcPr>
            <w:vMerge w:val="restart"/>
            <w:shd w:val="clear" w:color="auto" w:fill="1F4E79"/>
            <w:vAlign w:val="center"/>
          </w:tcPr>
          <w:p>
            <w:pPr>
              <w:pStyle w:val="DFTableText"/>
            </w:pPr>
            <w:r>
              <w:rPr>
                <w:rFonts w:hint="eastAsia"/>
                <w:b/>
                <w:bCs/>
                <w:color w:val="FFFFFF"/>
                <w:lang w:val="zh-CN"/>
              </w:rPr>
              <w:t xml:space="preserve">维度</w:t>
            </w:r>
          </w:p>
        </w:tc>
        <w:tc>
          <w:tcPr>
            <w:vMerge w:val="restart"/>
            <w:shd w:val="clear" w:color="auto" w:fill="1F4E79"/>
            <w:vAlign w:val="center"/>
          </w:tcPr>
          <w:p>
            <w:pPr>
              <w:pStyle w:val="DFTableText"/>
            </w:pPr>
            <w:r>
              <w:rPr>
                <w:rFonts w:hint="eastAsia"/>
                <w:b/>
                <w:bCs/>
                <w:color w:val="FFFFFF"/>
                <w:lang w:val="zh-CN"/>
              </w:rPr>
              <w:t xml:space="preserve">指标</w:t>
            </w:r>
          </w:p>
        </w:tc>
        <w:tc>
          <w:tcPr>
            <w:gridSpan w:val="3"/>
            <w:shd w:val="clear" w:color="auto" w:fill="1F4E79"/>
            <w:vAlign w:val="center"/>
          </w:tcPr>
          <w:p>
            <w:pPr>
              <w:pStyle w:val="DFTableText"/>
              <w:jc w:val="center"/>
            </w:pPr>
            <w:r>
              <w:rPr>
                <w:rFonts w:hint="eastAsia"/>
                <w:b/>
                <w:bCs/>
                <w:color w:val="FFFFFF"/>
                <w:lang w:val="zh-CN"/>
              </w:rPr>
              <w:t xml:space="preserve">第三季度</w:t>
            </w:r>
          </w:p>
        </w:tc>
        <w:tc>
          <w:tcPr>
            <w:vMerge w:val="restart"/>
            <w:shd w:val="clear" w:color="auto" w:fill="1F4E79"/>
            <w:vAlign w:val="center"/>
          </w:tcPr>
          <w:p>
            <w:pPr>
              <w:pStyle w:val="DFTableText"/>
              <w:jc w:val="right"/>
            </w:pPr>
            <w:r>
              <w:rPr>
                <w:rFonts w:hint="eastAsia"/>
                <w:b/>
                <w:bCs/>
                <w:color w:val="FFFFFF"/>
                <w:lang w:val="zh-CN"/>
              </w:rPr>
              <w:t xml:space="preserve">同比</w:t>
            </w:r>
          </w:p>
        </w:tc>
        <w:tc>
          <w:tcPr>
            <w:vMerge w:val="restart"/>
            <w:shd w:val="clear" w:color="auto" w:fill="1F4E79"/>
            <w:vAlign w:val="center"/>
          </w:tcPr>
          <w:p>
            <w:pPr>
              <w:pStyle w:val="DFTableText"/>
            </w:pPr>
            <w:r>
              <w:rPr>
                <w:rFonts w:hint="eastAsia"/>
                <w:b/>
                <w:bCs/>
                <w:color w:val="FFFFFF"/>
                <w:lang w:val="zh-CN"/>
              </w:rPr>
              <w:t xml:space="preserve">状态</w:t>
            </w:r>
          </w:p>
        </w:tc>
      </w:tr>
      <w:tr>
        <w:trPr>
          <w:cantSplit/>
          <w:tblHeader w:val="on"/>
        </w:trPr>
        <w:tc>
          <w:tcPr>
            <w:gridSpan w:val="1"/>
            <w:vMerge w:val="continue"/>
            <w:shd w:val="clear" w:color="auto" w:fill="1F4E79"/>
            <w:vAlign w:val="center"/>
          </w:tcPr>
          <w:p>
            <w:pPr/>
          </w:p>
        </w:tc>
        <w:tc>
          <w:tcPr>
            <w:gridSpan w:val="1"/>
            <w:vMerge w:val="continue"/>
            <w:shd w:val="clear" w:color="auto" w:fill="1F4E79"/>
            <w:vAlign w:val="center"/>
          </w:tcPr>
          <w:p>
            <w:pPr/>
          </w:p>
        </w:tc>
        <w:tc>
          <w:tcPr>
            <w:shd w:val="clear" w:color="auto" w:fill="1F4E79"/>
            <w:vAlign w:val="center"/>
          </w:tcPr>
          <w:p>
            <w:pPr>
              <w:pStyle w:val="DFTableText"/>
              <w:jc w:val="right"/>
            </w:pPr>
            <w:r>
              <w:rPr>
                <w:rFonts w:hint="eastAsia"/>
                <w:b/>
                <w:bCs/>
                <w:color w:val="FFFFFF"/>
                <w:lang w:val="zh-CN"/>
              </w:rPr>
              <w:t xml:space="preserve">实际</w:t>
            </w:r>
          </w:p>
        </w:tc>
        <w:tc>
          <w:tcPr>
            <w:shd w:val="clear" w:color="auto" w:fill="1F4E79"/>
            <w:vAlign w:val="center"/>
          </w:tcPr>
          <w:p>
            <w:pPr>
              <w:pStyle w:val="DFTableText"/>
              <w:jc w:val="right"/>
            </w:pPr>
            <w:r>
              <w:rPr>
                <w:rFonts w:hint="eastAsia"/>
                <w:b/>
                <w:bCs/>
                <w:color w:val="FFFFFF"/>
                <w:lang w:val="zh-CN"/>
              </w:rPr>
              <w:t xml:space="preserve">预算</w:t>
            </w:r>
          </w:p>
        </w:tc>
        <w:tc>
          <w:tcPr>
            <w:shd w:val="clear" w:color="auto" w:fill="1F4E79"/>
            <w:vAlign w:val="center"/>
          </w:tcPr>
          <w:p>
            <w:pPr>
              <w:pStyle w:val="DFTableText"/>
              <w:jc w:val="right"/>
            </w:pPr>
            <w:r>
              <w:rPr>
                <w:rFonts w:hint="eastAsia"/>
                <w:b/>
                <w:bCs/>
                <w:color w:val="FFFFFF"/>
                <w:lang w:val="zh-CN"/>
              </w:rPr>
              <w:t xml:space="preserve">完成率</w:t>
            </w:r>
          </w:p>
        </w:tc>
        <w:tc>
          <w:tcPr>
            <w:gridSpan w:val="1"/>
            <w:vMerge w:val="continue"/>
            <w:shd w:val="clear" w:color="auto" w:fill="1F4E79"/>
            <w:vAlign w:val="center"/>
          </w:tcPr>
          <w:p>
            <w:pPr/>
          </w:p>
        </w:tc>
        <w:tc>
          <w:tcPr>
            <w:gridSpan w:val="1"/>
            <w:vMerge w:val="continue"/>
            <w:shd w:val="clear" w:color="auto" w:fill="1F4E79"/>
            <w:vAlign w:val="center"/>
          </w:tcPr>
          <w:p>
            <w:pPr/>
          </w:p>
        </w:tc>
      </w:tr>
      <w:tr>
        <w:trPr>
          <w:cantSplit/>
        </w:trPr>
        <w:tc>
          <w:tcPr>
            <w:vMerge w:val="restart"/>
            <w:vAlign w:val="center"/>
          </w:tcPr>
          <w:p>
            <w:pPr>
              <w:pStyle w:val="DFTableText"/>
            </w:pPr>
            <w:r>
              <w:rPr>
                <w:rFonts w:hint="eastAsia"/>
                <w:b/>
                <w:bCs/>
                <w:lang w:val="zh-CN"/>
              </w:rPr>
              <w:t xml:space="preserve">规模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营业收入（亿元）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b/>
                <w:bCs/>
                <w:lang w:val="zh-CN"/>
              </w:rPr>
              <w:t xml:space="preserve">4.86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4.60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105.7%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rStyle w:val="DFChar7"/>
                <w:lang w:val="zh-CN"/>
              </w:rPr>
              <w:t xml:space="preserve">+18.4%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rStyle w:val="DFChar7"/>
                <w:lang w:val="zh-CN"/>
              </w:rPr>
              <w:t xml:space="preserve">● </w:t>
            </w:r>
            <w:r>
              <w:rPr>
                <w:rStyle w:val="DFChar7"/>
                <w:rFonts w:hint="eastAsia"/>
                <w:lang w:val="zh-CN"/>
              </w:rPr>
              <w:t xml:space="preserve">超额</w:t>
            </w:r>
          </w:p>
        </w:tc>
      </w:tr>
      <w:tr>
        <w:trPr>
          <w:cantSplit/>
        </w:trPr>
        <w:tc>
          <w:tcPr>
            <w:gridSpan w:val="1"/>
            <w:vMerge w:val="continue"/>
            <w:shd w:val="clear" w:color="auto" w:fill="F3F6FA"/>
            <w:vAlign w:val="center"/>
          </w:tcPr>
          <w:p>
            <w:pPr/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新签合同额（亿元）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  <w:jc w:val="right"/>
            </w:pPr>
            <w:r>
              <w:rPr>
                <w:b/>
                <w:bCs/>
                <w:lang w:val="zh-CN"/>
              </w:rPr>
              <w:t xml:space="preserve">6.12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5.50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111.3%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  <w:jc w:val="right"/>
            </w:pPr>
            <w:r>
              <w:rPr>
                <w:rStyle w:val="DFChar7"/>
                <w:lang w:val="zh-CN"/>
              </w:rPr>
              <w:t xml:space="preserve">+26.1%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</w:pPr>
            <w:r>
              <w:rPr>
                <w:rStyle w:val="DFChar7"/>
                <w:lang w:val="zh-CN"/>
              </w:rPr>
              <w:t xml:space="preserve">● </w:t>
            </w:r>
            <w:r>
              <w:rPr>
                <w:rStyle w:val="DFChar7"/>
                <w:rFonts w:hint="eastAsia"/>
                <w:lang w:val="zh-CN"/>
              </w:rPr>
              <w:t xml:space="preserve">超额</w:t>
            </w:r>
          </w:p>
        </w:tc>
      </w:tr>
      <w:tr>
        <w:trPr>
          <w:cantSplit/>
        </w:trPr>
        <w:tc>
          <w:tcPr>
            <w:vMerge w:val="restart"/>
            <w:vAlign w:val="center"/>
          </w:tcPr>
          <w:p>
            <w:pPr>
              <w:pStyle w:val="DFTableText"/>
            </w:pPr>
            <w:r>
              <w:rPr>
                <w:rFonts w:hint="eastAsia"/>
                <w:b/>
                <w:bCs/>
                <w:lang w:val="zh-CN"/>
              </w:rPr>
              <w:t xml:space="preserve">盈利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毛利率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b/>
                <w:bCs/>
                <w:lang w:val="zh-CN"/>
              </w:rPr>
              <w:t xml:space="preserve">32.7%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31.5%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+1.2 pt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rStyle w:val="DFChar7"/>
                <w:lang w:val="zh-CN"/>
              </w:rPr>
              <w:t xml:space="preserve">+1.9 pt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rStyle w:val="DFChar7"/>
                <w:lang w:val="zh-CN"/>
              </w:rPr>
              <w:t xml:space="preserve">● </w:t>
            </w:r>
            <w:r>
              <w:rPr>
                <w:rStyle w:val="DFChar7"/>
                <w:rFonts w:hint="eastAsia"/>
                <w:lang w:val="zh-CN"/>
              </w:rPr>
              <w:t xml:space="preserve">超额</w:t>
            </w:r>
          </w:p>
        </w:tc>
      </w:tr>
      <w:tr>
        <w:trPr>
          <w:cantSplit/>
        </w:trPr>
        <w:tc>
          <w:tcPr>
            <w:gridSpan w:val="1"/>
            <w:vMerge w:val="continue"/>
            <w:shd w:val="clear" w:color="auto" w:fill="F3F6FA"/>
            <w:vAlign w:val="center"/>
          </w:tcPr>
          <w:p>
            <w:pPr/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净利润（亿元）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  <w:jc w:val="right"/>
            </w:pPr>
            <w:r>
              <w:rPr>
                <w:b/>
                <w:bCs/>
                <w:lang w:val="zh-CN"/>
              </w:rPr>
              <w:t xml:space="preserve">0.62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0.60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103.3%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  <w:jc w:val="right"/>
            </w:pPr>
            <w:r>
              <w:rPr>
                <w:rStyle w:val="DFChar7"/>
                <w:lang w:val="zh-CN"/>
              </w:rPr>
              <w:t xml:space="preserve">+21.6%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</w:pPr>
            <w:r>
              <w:rPr>
                <w:rStyle w:val="DFChar7"/>
                <w:lang w:val="zh-CN"/>
              </w:rPr>
              <w:t xml:space="preserve">● </w:t>
            </w:r>
            <w:r>
              <w:rPr>
                <w:rStyle w:val="DFChar7"/>
                <w:rFonts w:hint="eastAsia"/>
                <w:lang w:val="zh-CN"/>
              </w:rPr>
              <w:t xml:space="preserve">达成</w:t>
            </w:r>
          </w:p>
        </w:tc>
      </w:tr>
      <w:tr>
        <w:trPr>
          <w:cantSplit/>
        </w:trPr>
        <w:tc>
          <w:tcPr>
            <w:vMerge w:val="restart"/>
            <w:vAlign w:val="center"/>
          </w:tcPr>
          <w:p>
            <w:pPr>
              <w:pStyle w:val="DFTableText"/>
            </w:pPr>
            <w:r>
              <w:rPr>
                <w:rFonts w:hint="eastAsia"/>
                <w:b/>
                <w:bCs/>
                <w:lang w:val="zh-CN"/>
              </w:rPr>
              <w:t xml:space="preserve">现金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经营现金流（亿元）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b/>
                <w:bCs/>
                <w:lang w:val="zh-CN"/>
              </w:rPr>
              <w:t xml:space="preserve">0.71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0.55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129.1%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rStyle w:val="DFChar7"/>
                <w:lang w:val="zh-CN"/>
              </w:rPr>
              <w:t xml:space="preserve">+48.0%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rStyle w:val="DFChar7"/>
                <w:lang w:val="zh-CN"/>
              </w:rPr>
              <w:t xml:space="preserve">● </w:t>
            </w:r>
            <w:r>
              <w:rPr>
                <w:rStyle w:val="DFChar7"/>
                <w:rFonts w:hint="eastAsia"/>
                <w:lang w:val="zh-CN"/>
              </w:rPr>
              <w:t xml:space="preserve">超额</w:t>
            </w:r>
          </w:p>
        </w:tc>
      </w:tr>
      <w:tr>
        <w:trPr>
          <w:cantSplit/>
        </w:trPr>
        <w:tc>
          <w:tcPr>
            <w:gridSpan w:val="1"/>
            <w:vMerge w:val="continue"/>
            <w:shd w:val="clear" w:color="auto" w:fill="F3F6FA"/>
            <w:vAlign w:val="center"/>
          </w:tcPr>
          <w:p>
            <w:pPr/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应收周转天数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  <w:jc w:val="right"/>
            </w:pPr>
            <w:r>
              <w:rPr>
                <w:b/>
                <w:bCs/>
                <w:lang w:val="zh-CN"/>
              </w:rPr>
              <w:t xml:space="preserve">96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85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−11 </w:t>
            </w:r>
            <w:r>
              <w:rPr>
                <w:rFonts w:hint="eastAsia"/>
                <w:lang w:val="zh-CN"/>
              </w:rPr>
              <w:t xml:space="preserve">天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  <w:jc w:val="right"/>
            </w:pPr>
            <w:r>
              <w:rPr>
                <w:rStyle w:val="DFChar8"/>
                <w:lang w:val="zh-CN"/>
              </w:rPr>
              <w:t xml:space="preserve">+7 </w:t>
            </w:r>
            <w:r>
              <w:rPr>
                <w:rStyle w:val="DFChar8"/>
                <w:rFonts w:hint="eastAsia"/>
                <w:lang w:val="zh-CN"/>
              </w:rPr>
              <w:t xml:space="preserve">天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</w:pPr>
            <w:r>
              <w:rPr>
                <w:rStyle w:val="DFChar9"/>
                <w:lang w:val="zh-CN"/>
              </w:rPr>
              <w:t xml:space="preserve">▲ </w:t>
            </w:r>
            <w:r>
              <w:rPr>
                <w:rStyle w:val="DFChar9"/>
                <w:rFonts w:hint="eastAsia"/>
                <w:lang w:val="zh-CN"/>
              </w:rPr>
              <w:t xml:space="preserve">关注</w:t>
            </w:r>
          </w:p>
        </w:tc>
      </w:tr>
    </w:tbl>
    <w:p>
      <w:pPr>
        <w:pStyle w:val="DFPara2"/>
      </w:pPr>
      <w:r>
        <w:rPr>
          <w:rFonts w:hint="eastAsia"/>
          <w:b/>
          <w:bCs/>
          <w:lang w:val="zh-CN"/>
        </w:rPr>
        <w:t xml:space="preserve">重要</w:t>
      </w:r>
    </w:p>
    <w:p>
      <w:pPr>
        <w:pStyle w:val="DFPara1"/>
      </w:pPr>
      <w:r>
        <w:rPr>
          <w:rFonts w:hint="eastAsia"/>
          <w:lang w:val="zh-CN"/>
        </w:rPr>
        <w:t xml:space="preserve">云服务占比升至</w:t>
      </w:r>
      <w:r>
        <w:rPr>
          <w:lang w:val="zh-CN"/>
        </w:rPr>
        <w:t xml:space="preserve"> </w:t>
      </w:r>
      <w:r>
        <w:rPr>
          <w:b/>
          <w:bCs/>
          <w:lang w:val="zh-CN"/>
        </w:rPr>
        <w:t xml:space="preserve">31.4%</w:t>
      </w:r>
      <w:r>
        <w:rPr>
          <w:rFonts w:hint="eastAsia"/>
          <w:lang w:val="zh-CN"/>
        </w:rPr>
        <w:t xml:space="preserve">（</w:t>
      </w:r>
      <w:hyperlink w:anchor="fig_dash">
        <w:r>
          <w:rPr>
            <w:rStyle w:val="Hyperlink"/>
            <w:rFonts w:hint="eastAsia"/>
            <w:lang w:val="zh-CN"/>
          </w:rPr>
          <w:t xml:space="preserve">图</w:t>
        </w:r>
        <w:r>
          <w:rPr>
            <w:rStyle w:val="Hyperlink"/>
            <w:lang w:val="zh-CN"/>
          </w:rPr>
          <w:t xml:space="preserve"> 1</w:t>
        </w:r>
      </w:hyperlink>
      <w:r>
        <w:rPr>
          <w:rFonts w:hint="eastAsia"/>
          <w:lang w:val="zh-CN"/>
        </w:rPr>
        <w:t xml:space="preserve">b），已成为第二增长曲线；西部区域连续三个季度增速第一。</w:t>
      </w:r>
    </w:p>
    <w:p>
      <w:pPr>
        <w:pStyle w:val="Heading1"/>
      </w:pPr>
      <w:bookmarkStart w:id="23" w:name="sec_region"/>
      <w:r>
        <w:rPr>
          <w:rStyle w:val="SectionNumber"/>
          <w:lang w:val="zh-CN"/>
        </w:rPr>
        <w:t xml:space="preserve">2</w:t>
      </w:r>
      <w:r>
        <w:tab/>
      </w:r>
      <w:r>
        <w:rPr>
          <w:rFonts w:hint="eastAsia"/>
          <w:lang w:val="zh-CN"/>
        </w:rPr>
        <w:t xml:space="preserve">区域表现</w:t>
      </w:r>
      <w:bookmarkEnd w:id="23"/>
    </w:p>
    <w:p>
      <w:pPr>
        <w:pStyle w:val="TableCaption"/>
      </w:pPr>
      <w:bookmarkStart w:id="19" w:name="tbl_region"/>
      <w:bookmarkStart w:id="18" w:name="tbl_region"/>
      <w:r>
        <w:rPr>
          <w:rFonts w:hint="eastAsia"/>
          <w:lang w:val="zh-CN"/>
        </w:rPr>
        <w:t xml:space="preserve">表</w:t>
      </w:r>
      <w:r>
        <w:rPr>
          <w:lang w:val="zh-CN"/>
        </w:rPr>
        <w:t xml:space="preserve"> </w:t>
      </w:r>
      <w:fldSimple w:instr="SEQ Table \* ARABIC ">
        <w:r>
          <w:t>2</w:t>
        </w:r>
      </w:fldSimple>
      <w:bookmarkEnd w:id="18"/>
      <w:r>
        <w:rPr>
          <w:lang w:val="zh-CN"/>
        </w:rPr>
        <w:t xml:space="preserve">　</w:t>
      </w:r>
      <w:r>
        <w:rPr>
          <w:rFonts w:hint="eastAsia"/>
          <w:lang w:val="zh-CN"/>
        </w:rPr>
        <w:t xml:space="preserve">分区域、分产品收入（亿元）</w:t>
      </w:r>
      <w:bookmarkEnd w:id="19"/>
    </w:p>
    <w:tbl>
      <w:tblPr>
        <w:tblStyle w:val="Table"/>
        <w:tblW w:type="dxa" w:w="6595"/>
        <w:jc w:val="center"/>
        <w:tblBorders>
          <w:top w:val="single" w:sz="4" w:space="0" w:color="C9D1DB"/>
          <w:left w:val="single" w:sz="4" w:space="0" w:color="C9D1DB"/>
          <w:bottom w:val="single" w:sz="4" w:space="0" w:color="C9D1DB"/>
          <w:right w:val="single" w:sz="4" w:space="0" w:color="C9D1DB"/>
          <w:insideH w:val="single" w:sz="4" w:space="0" w:color="C9D1DB"/>
          <w:insideV w:val="single" w:sz="4" w:space="0" w:color="C9D1DB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Row="1" w:lastRow="0" w:firstColumn="0" w:lastColumn="0" w:noHBand="0" w:noVBand="0" w:val="0020"/>
        <w:tblCaption w:val="分区域、分产品收入（亿元）"/>
      </w:tblPr>
      <w:tblGrid>
        <w:gridCol w:w="710"/>
        <w:gridCol w:w="1929"/>
        <w:gridCol w:w="710"/>
        <w:gridCol w:w="913"/>
        <w:gridCol w:w="710"/>
        <w:gridCol w:w="913"/>
        <w:gridCol w:w="710"/>
      </w:tblGrid>
      <w:tr>
        <w:trPr>
          <w:cantSplit/>
          <w:tblHeader w:val="on"/>
        </w:trPr>
        <w:tc>
          <w:tcPr>
            <w:vMerge w:val="restart"/>
            <w:shd w:val="clear" w:color="auto" w:fill="1F4E79"/>
            <w:vAlign w:val="center"/>
          </w:tcPr>
          <w:p>
            <w:pPr>
              <w:pStyle w:val="DFTableText"/>
            </w:pPr>
            <w:r>
              <w:rPr>
                <w:rFonts w:hint="eastAsia"/>
                <w:b/>
                <w:bCs/>
                <w:color w:val="FFFFFF"/>
                <w:lang w:val="zh-CN"/>
              </w:rPr>
              <w:t xml:space="preserve">区域</w:t>
            </w:r>
          </w:p>
        </w:tc>
        <w:tc>
          <w:tcPr>
            <w:vMerge w:val="restart"/>
            <w:shd w:val="clear" w:color="auto" w:fill="1F4E79"/>
            <w:vAlign w:val="center"/>
          </w:tcPr>
          <w:p>
            <w:pPr>
              <w:pStyle w:val="DFTableText"/>
            </w:pPr>
            <w:r>
              <w:rPr>
                <w:rFonts w:hint="eastAsia"/>
                <w:b/>
                <w:bCs/>
                <w:color w:val="FFFFFF"/>
                <w:lang w:val="zh-CN"/>
              </w:rPr>
              <w:t xml:space="preserve">省份</w:t>
            </w:r>
            <w:r>
              <w:rPr>
                <w:b/>
                <w:bCs/>
                <w:color w:val="FFFFFF"/>
                <w:lang w:val="zh-CN"/>
              </w:rPr>
              <w:t xml:space="preserve"> / </w:t>
            </w:r>
            <w:r>
              <w:rPr>
                <w:rFonts w:hint="eastAsia"/>
                <w:b/>
                <w:bCs/>
                <w:color w:val="FFFFFF"/>
                <w:lang w:val="zh-CN"/>
              </w:rPr>
              <w:t xml:space="preserve">市场</w:t>
            </w:r>
          </w:p>
        </w:tc>
        <w:tc>
          <w:tcPr>
            <w:gridSpan w:val="2"/>
            <w:shd w:val="clear" w:color="auto" w:fill="1F4E79"/>
            <w:vAlign w:val="center"/>
          </w:tcPr>
          <w:p>
            <w:pPr>
              <w:pStyle w:val="DFTableText"/>
              <w:jc w:val="center"/>
            </w:pPr>
            <w:r>
              <w:rPr>
                <w:rFonts w:hint="eastAsia"/>
                <w:b/>
                <w:bCs/>
                <w:color w:val="FFFFFF"/>
                <w:lang w:val="zh-CN"/>
              </w:rPr>
              <w:t xml:space="preserve">企业软件</w:t>
            </w:r>
          </w:p>
        </w:tc>
        <w:tc>
          <w:tcPr>
            <w:gridSpan w:val="2"/>
            <w:shd w:val="clear" w:color="auto" w:fill="1F4E79"/>
            <w:vAlign w:val="center"/>
          </w:tcPr>
          <w:p>
            <w:pPr>
              <w:pStyle w:val="DFTableText"/>
              <w:jc w:val="center"/>
            </w:pPr>
            <w:r>
              <w:rPr>
                <w:rFonts w:hint="eastAsia"/>
                <w:b/>
                <w:bCs/>
                <w:color w:val="FFFFFF"/>
                <w:lang w:val="zh-CN"/>
              </w:rPr>
              <w:t xml:space="preserve">云服务</w:t>
            </w:r>
          </w:p>
        </w:tc>
        <w:tc>
          <w:tcPr>
            <w:vMerge w:val="restart"/>
            <w:shd w:val="clear" w:color="auto" w:fill="1F4E79"/>
            <w:vAlign w:val="center"/>
          </w:tcPr>
          <w:p>
            <w:pPr>
              <w:pStyle w:val="DFTableText"/>
              <w:jc w:val="right"/>
            </w:pPr>
            <w:r>
              <w:rPr>
                <w:rFonts w:hint="eastAsia"/>
                <w:b/>
                <w:bCs/>
                <w:color w:val="FFFFFF"/>
                <w:lang w:val="zh-CN"/>
              </w:rPr>
              <w:t xml:space="preserve">合计</w:t>
            </w:r>
          </w:p>
        </w:tc>
      </w:tr>
      <w:tr>
        <w:trPr>
          <w:cantSplit/>
          <w:tblHeader w:val="on"/>
        </w:trPr>
        <w:tc>
          <w:tcPr>
            <w:gridSpan w:val="1"/>
            <w:vMerge w:val="continue"/>
            <w:shd w:val="clear" w:color="auto" w:fill="1F4E79"/>
            <w:vAlign w:val="center"/>
          </w:tcPr>
          <w:p>
            <w:pPr/>
          </w:p>
        </w:tc>
        <w:tc>
          <w:tcPr>
            <w:gridSpan w:val="1"/>
            <w:vMerge w:val="continue"/>
            <w:shd w:val="clear" w:color="auto" w:fill="1F4E79"/>
            <w:vAlign w:val="center"/>
          </w:tcPr>
          <w:p>
            <w:pPr/>
          </w:p>
        </w:tc>
        <w:tc>
          <w:tcPr>
            <w:shd w:val="clear" w:color="auto" w:fill="1F4E79"/>
            <w:vAlign w:val="center"/>
          </w:tcPr>
          <w:p>
            <w:pPr>
              <w:pStyle w:val="DFTableText"/>
              <w:jc w:val="right"/>
            </w:pPr>
            <w:r>
              <w:rPr>
                <w:b/>
                <w:bCs/>
                <w:color w:val="FFFFFF"/>
                <w:lang w:val="zh-CN"/>
              </w:rPr>
              <w:t xml:space="preserve">Q3</w:t>
            </w:r>
          </w:p>
        </w:tc>
        <w:tc>
          <w:tcPr>
            <w:shd w:val="clear" w:color="auto" w:fill="1F4E79"/>
            <w:vAlign w:val="center"/>
          </w:tcPr>
          <w:p>
            <w:pPr>
              <w:pStyle w:val="DFTableText"/>
              <w:jc w:val="right"/>
            </w:pPr>
            <w:r>
              <w:rPr>
                <w:rFonts w:hint="eastAsia"/>
                <w:b/>
                <w:bCs/>
                <w:color w:val="FFFFFF"/>
                <w:lang w:val="zh-CN"/>
              </w:rPr>
              <w:t xml:space="preserve">同比</w:t>
            </w:r>
          </w:p>
        </w:tc>
        <w:tc>
          <w:tcPr>
            <w:shd w:val="clear" w:color="auto" w:fill="1F4E79"/>
            <w:vAlign w:val="center"/>
          </w:tcPr>
          <w:p>
            <w:pPr>
              <w:pStyle w:val="DFTableText"/>
              <w:jc w:val="right"/>
            </w:pPr>
            <w:r>
              <w:rPr>
                <w:b/>
                <w:bCs/>
                <w:color w:val="FFFFFF"/>
                <w:lang w:val="zh-CN"/>
              </w:rPr>
              <w:t xml:space="preserve">Q3</w:t>
            </w:r>
          </w:p>
        </w:tc>
        <w:tc>
          <w:tcPr>
            <w:shd w:val="clear" w:color="auto" w:fill="1F4E79"/>
            <w:vAlign w:val="center"/>
          </w:tcPr>
          <w:p>
            <w:pPr>
              <w:pStyle w:val="DFTableText"/>
              <w:jc w:val="right"/>
            </w:pPr>
            <w:r>
              <w:rPr>
                <w:rFonts w:hint="eastAsia"/>
                <w:b/>
                <w:bCs/>
                <w:color w:val="FFFFFF"/>
                <w:lang w:val="zh-CN"/>
              </w:rPr>
              <w:t xml:space="preserve">同比</w:t>
            </w:r>
          </w:p>
        </w:tc>
        <w:tc>
          <w:tcPr>
            <w:gridSpan w:val="1"/>
            <w:vMerge w:val="continue"/>
            <w:shd w:val="clear" w:color="auto" w:fill="1F4E79"/>
            <w:vAlign w:val="center"/>
          </w:tcPr>
          <w:p>
            <w:pPr/>
          </w:p>
        </w:tc>
      </w:tr>
      <w:tr>
        <w:trPr>
          <w:cantSplit/>
        </w:trPr>
        <w:tc>
          <w:tcPr>
            <w:vMerge w:val="restart"/>
            <w:vAlign w:val="center"/>
          </w:tcPr>
          <w:p>
            <w:pPr>
              <w:pStyle w:val="DFTableText"/>
            </w:pPr>
            <w:r>
              <w:rPr>
                <w:rFonts w:hint="eastAsia"/>
                <w:b/>
                <w:bCs/>
                <w:lang w:val="zh-CN"/>
              </w:rPr>
              <w:t xml:space="preserve">华东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上海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0.42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+12%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0.31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rStyle w:val="DFChar7"/>
                <w:lang w:val="zh-CN"/>
              </w:rPr>
              <w:t xml:space="preserve">+41%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0.86</w:t>
            </w:r>
          </w:p>
        </w:tc>
      </w:tr>
      <w:tr>
        <w:trPr>
          <w:cantSplit/>
        </w:trPr>
        <w:tc>
          <w:tcPr>
            <w:gridSpan w:val="1"/>
            <w:vMerge w:val="continue"/>
            <w:shd w:val="clear" w:color="auto" w:fill="F3F6FA"/>
            <w:vAlign w:val="center"/>
          </w:tcPr>
          <w:p>
            <w:pPr/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江苏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0.38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+19%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0.24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  <w:jc w:val="right"/>
            </w:pPr>
            <w:r>
              <w:rPr>
                <w:rStyle w:val="DFChar7"/>
                <w:lang w:val="zh-CN"/>
              </w:rPr>
              <w:t xml:space="preserve">+36%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0.71</w:t>
            </w:r>
          </w:p>
        </w:tc>
      </w:tr>
      <w:tr>
        <w:trPr>
          <w:cantSplit/>
        </w:trPr>
        <w:tc>
          <w:tcPr>
            <w:gridSpan w:val="1"/>
            <w:vMerge w:val="continue"/>
            <w:vAlign w:val="center"/>
          </w:tcPr>
          <w:p>
            <w:pPr/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浙江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0.33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+15%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0.20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+28%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0.60</w:t>
            </w:r>
          </w:p>
        </w:tc>
      </w:tr>
      <w:tr>
        <w:trPr>
          <w:cantSplit/>
        </w:trPr>
        <w:tc>
          <w:tcPr>
            <w:vMerge w:val="restart"/>
            <w:shd w:val="clear" w:color="auto" w:fill="F3F6FA"/>
            <w:vAlign w:val="center"/>
          </w:tcPr>
          <w:p>
            <w:pPr>
              <w:pStyle w:val="DFTableText"/>
            </w:pPr>
            <w:r>
              <w:rPr>
                <w:rFonts w:hint="eastAsia"/>
                <w:b/>
                <w:bCs/>
                <w:lang w:val="zh-CN"/>
              </w:rPr>
              <w:t xml:space="preserve">华南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广东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0.36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+9%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0.22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+24%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0.66</w:t>
            </w:r>
          </w:p>
        </w:tc>
      </w:tr>
      <w:tr>
        <w:trPr>
          <w:cantSplit/>
        </w:trPr>
        <w:tc>
          <w:tcPr>
            <w:gridSpan w:val="1"/>
            <w:vMerge w:val="continue"/>
            <w:vAlign w:val="center"/>
          </w:tcPr>
          <w:p>
            <w:pPr/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福建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0.14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+6%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0.07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+18%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0.24</w:t>
            </w:r>
          </w:p>
        </w:tc>
      </w:tr>
      <w:tr>
        <w:trPr>
          <w:cantSplit/>
        </w:trPr>
        <w:tc>
          <w:tcPr>
            <w:shd w:val="clear" w:color="auto" w:fill="F3F6FA"/>
            <w:vAlign w:val="center"/>
          </w:tcPr>
          <w:p>
            <w:pPr>
              <w:pStyle w:val="DFTableText"/>
            </w:pPr>
            <w:r>
              <w:rPr>
                <w:rFonts w:hint="eastAsia"/>
                <w:b/>
                <w:bCs/>
                <w:lang w:val="zh-CN"/>
              </w:rPr>
              <w:t xml:space="preserve">华北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北京、天津、河北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0.29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  <w:jc w:val="right"/>
            </w:pPr>
            <w:r>
              <w:rPr>
                <w:rStyle w:val="DFChar8"/>
                <w:lang w:val="zh-CN"/>
              </w:rPr>
              <w:t xml:space="preserve">−2%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0.18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+15%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0.55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w:r>
              <w:rPr>
                <w:rFonts w:hint="eastAsia"/>
                <w:b/>
                <w:bCs/>
                <w:lang w:val="zh-CN"/>
              </w:rPr>
              <w:t xml:space="preserve">西部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四川、重庆、陕西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0.21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+22%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0.20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rStyle w:val="DFChar7"/>
                <w:lang w:val="zh-CN"/>
              </w:rPr>
              <w:t xml:space="preserve">+47%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0.50</w:t>
            </w:r>
          </w:p>
        </w:tc>
      </w:tr>
      <w:tr>
        <w:trPr>
          <w:cantSplit/>
        </w:trPr>
        <w:tc>
          <w:tcPr>
            <w:shd w:val="clear" w:color="auto" w:fill="F3F6FA"/>
            <w:vAlign w:val="center"/>
          </w:tcPr>
          <w:p>
            <w:pPr>
              <w:pStyle w:val="DFTableText"/>
            </w:pPr>
            <w:r>
              <w:rPr>
                <w:rFonts w:hint="eastAsia"/>
                <w:b/>
                <w:bCs/>
                <w:lang w:val="zh-CN"/>
              </w:rPr>
              <w:t xml:space="preserve">海外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东南亚、中东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0.03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—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0.11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  <w:jc w:val="right"/>
            </w:pPr>
            <w:r>
              <w:rPr>
                <w:rStyle w:val="DFChar7"/>
                <w:lang w:val="zh-CN"/>
              </w:rPr>
              <w:t xml:space="preserve">+120%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0.18</w:t>
            </w:r>
          </w:p>
        </w:tc>
      </w:tr>
      <w:tr>
        <w:trPr>
          <w:cantSplit/>
        </w:trPr>
        <w:tc>
          <w:tcPr>
            <w:gridSpan w:val="2"/>
            <w:vAlign w:val="center"/>
          </w:tcPr>
          <w:p>
            <w:pPr>
              <w:pStyle w:val="DFTableText"/>
            </w:pPr>
            <w:r>
              <w:rPr>
                <w:rFonts w:hint="eastAsia"/>
                <w:b/>
                <w:bCs/>
                <w:lang w:val="zh-CN"/>
              </w:rPr>
              <w:t xml:space="preserve">集团合计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b/>
                <w:bCs/>
                <w:lang w:val="zh-CN"/>
              </w:rPr>
              <w:t xml:space="preserve">2.16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b/>
                <w:bCs/>
                <w:lang w:val="zh-CN"/>
              </w:rPr>
              <w:t xml:space="preserve">+22.5%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b/>
                <w:bCs/>
                <w:lang w:val="zh-CN"/>
              </w:rPr>
              <w:t xml:space="preserve">1.53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b/>
                <w:bCs/>
                <w:lang w:val="zh-CN"/>
              </w:rPr>
              <w:t xml:space="preserve">+31.8%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b/>
                <w:bCs/>
                <w:lang w:val="zh-CN"/>
              </w:rPr>
              <w:t xml:space="preserve">4.86</w:t>
            </w:r>
          </w:p>
        </w:tc>
      </w:tr>
    </w:tbl>
    <w:p>
      <w:pPr>
        <w:pStyle w:val="Heading2"/>
      </w:pPr>
      <w:bookmarkStart w:id="22" w:name="df_4b7efdedc1"/>
      <w:r>
        <w:rPr>
          <w:rStyle w:val="SectionNumber"/>
          <w:lang w:val="zh-CN"/>
        </w:rPr>
        <w:t xml:space="preserve">2.1</w:t>
      </w:r>
      <w:r>
        <w:tab/>
      </w:r>
      <w:r>
        <w:rPr>
          <w:rFonts w:hint="eastAsia"/>
          <w:lang w:val="zh-CN"/>
        </w:rPr>
        <w:t xml:space="preserve">盈利质量</w:t>
      </w:r>
      <w:bookmarkEnd w:id="22"/>
    </w:p>
    <w:p>
      <w:pPr>
        <w:pStyle w:val="FirstParagraph"/>
      </w:pPr>
      <w:r>
        <w:rPr>
          <w:rFonts w:hint="eastAsia"/>
          <w:lang w:val="zh-CN"/>
        </w:rPr>
        <w:t xml:space="preserve">用杜邦分解看净资产收益率的来源，三个因子同时改善：</w:t>
      </w:r>
    </w:p>
    <w:p>
      <w:pPr>
        <w:pStyle w:val="DFEquation"/>
      </w:pPr>
      <w:r>
        <w:tab/>
      </w:r>
      <m:oMath>
        <m:r>
          <m:rPr>
            <m:sty m:val="p"/>
          </m:rPr>
          <m:t>R</m:t>
        </m:r>
        <m:r>
          <m:rPr>
            <m:sty m:val="p"/>
          </m:rPr>
          <m:t>O</m:t>
        </m:r>
        <m:r>
          <m:rPr>
            <m:sty m:val="p"/>
          </m:rPr>
          <m:t>E</m:t>
        </m:r>
        <m:r>
          <m:rPr>
            <m:sty m:val="p"/>
          </m:rPr>
          <m:t>=</m:t>
        </m:r>
        <m:limLow>
          <m:e>
            <m:limLow>
              <m:e>
                <m:f>
                  <m:fPr>
                    <m:type m:val="bar"/>
                  </m:fPr>
                  <m:num>
                    <m:r>
                      <m:rPr>
                        <m:nor/>
                        <m:sty m:val="p"/>
                      </m:rPr>
                      <m:t>净利润</m:t>
                    </m:r>
                  </m:num>
                  <m:den>
                    <m:r>
                      <m:rPr>
                        <m:nor/>
                        <m:sty m:val="p"/>
                      </m:rPr>
                      <m:t>营业收入</m:t>
                    </m:r>
                  </m:den>
                </m:f>
              </m:e>
              <m:lim>
                <m:r>
                  <m:rPr>
                    <m:sty m:val="p"/>
                  </m:rPr>
                  <m:t>⏟</m:t>
                </m:r>
              </m:lim>
            </m:limLow>
          </m:e>
          <m:lim>
            <m:r>
              <m:rPr>
                <m:nor/>
                <m:sty m:val="p"/>
              </m:rPr>
              <m:t>净利率</m:t>
            </m:r>
            <m:r>
              <m:t> </m:t>
            </m:r>
            <m:r>
              <m:t>12.8</m:t>
            </m:r>
            <m:r>
              <m:rPr>
                <m:sty m:val="p"/>
              </m:rPr>
              <m:t>%</m:t>
            </m:r>
          </m:lim>
        </m:limLow>
        <m:r>
          <m:rPr>
            <m:sty m:val="p"/>
          </m:rPr>
          <m:t>×</m:t>
        </m:r>
        <m:limLow>
          <m:e>
            <m:limLow>
              <m:e>
                <m:f>
                  <m:fPr>
                    <m:type m:val="bar"/>
                  </m:fPr>
                  <m:num>
                    <m:r>
                      <m:rPr>
                        <m:nor/>
                        <m:sty m:val="p"/>
                      </m:rPr>
                      <m:t>营业收入</m:t>
                    </m:r>
                  </m:num>
                  <m:den>
                    <m:r>
                      <m:rPr>
                        <m:nor/>
                        <m:sty m:val="p"/>
                      </m:rPr>
                      <m:t>总资产</m:t>
                    </m:r>
                  </m:den>
                </m:f>
              </m:e>
              <m:lim>
                <m:r>
                  <m:rPr>
                    <m:sty m:val="p"/>
                  </m:rPr>
                  <m:t>⏟</m:t>
                </m:r>
              </m:lim>
            </m:limLow>
          </m:e>
          <m:lim>
            <m:r>
              <m:rPr>
                <m:nor/>
                <m:sty m:val="p"/>
              </m:rPr>
              <m:t>周转率</m:t>
            </m:r>
            <m:r>
              <m:t> </m:t>
            </m:r>
            <m:r>
              <m:t>0.64</m:t>
            </m:r>
          </m:lim>
        </m:limLow>
        <m:r>
          <m:rPr>
            <m:sty m:val="p"/>
          </m:rPr>
          <m:t>×</m:t>
        </m:r>
        <m:limLow>
          <m:e>
            <m:limLow>
              <m:e>
                <m:f>
                  <m:fPr>
                    <m:type m:val="bar"/>
                  </m:fPr>
                  <m:num>
                    <m:r>
                      <m:rPr>
                        <m:nor/>
                        <m:sty m:val="p"/>
                      </m:rPr>
                      <m:t>总资产</m:t>
                    </m:r>
                  </m:num>
                  <m:den>
                    <m:r>
                      <m:rPr>
                        <m:nor/>
                        <m:sty m:val="p"/>
                      </m:rPr>
                      <m:t>净资产</m:t>
                    </m:r>
                  </m:den>
                </m:f>
              </m:e>
              <m:lim>
                <m:r>
                  <m:rPr>
                    <m:sty m:val="p"/>
                  </m:rPr>
                  <m:t>⏟</m:t>
                </m:r>
              </m:lim>
            </m:limLow>
          </m:e>
          <m:lim>
            <m:r>
              <m:rPr>
                <m:nor/>
                <m:sty m:val="p"/>
              </m:rPr>
              <m:t>权益乘数</m:t>
            </m:r>
            <m:r>
              <m:t> </m:t>
            </m:r>
            <m:r>
              <m:t>1.71</m:t>
            </m:r>
          </m:lim>
        </m:limLow>
        <m:r>
          <m:rPr>
            <m:sty m:val="p"/>
          </m:rPr>
          <m:t>≈</m:t>
        </m:r>
        <m:r>
          <m:t>14.0</m:t>
        </m:r>
        <m:r>
          <m:rPr>
            <m:sty m:val="p"/>
          </m:rPr>
          <m:t>%</m:t>
        </m:r>
      </m:oMath>
      <w:r>
        <w:tab/>
      </w:r>
      <w:bookmarkStart w:id="20" w:name="eq_dupont"/>
      <w:r>
        <w:rPr>
          <w:lang w:val="zh-CN"/>
        </w:rPr>
        <w:t xml:space="preserve">(1)</w:t>
      </w:r>
      <w:bookmarkEnd w:id="20"/>
    </w:p>
    <w:p>
      <w:pPr>
        <w:pStyle w:val="BodyText"/>
      </w:pPr>
      <w:r>
        <w:rPr>
          <w:rFonts w:hint="eastAsia"/>
          <w:lang w:val="zh-CN"/>
        </w:rPr>
        <w:t xml:space="preserve">客户终身价值按</w:t>
      </w:r>
      <w:r>
        <w:rPr>
          <w:lang w:val="zh-CN"/>
        </w:rPr>
        <w:t xml:space="preserve"> </w:t>
      </w:r>
      <w:hyperlink w:anchor="eq_ltv">
        <w:r>
          <w:rPr>
            <w:rStyle w:val="Hyperlink"/>
            <w:rFonts w:hint="eastAsia"/>
            <w:lang w:val="zh-CN"/>
          </w:rPr>
          <w:t xml:space="preserve">式(2)</w:t>
        </w:r>
      </w:hyperlink>
      <w:r>
        <w:rPr>
          <w:lang w:val="zh-CN"/>
        </w:rPr>
        <w:t xml:space="preserve"> </w:t>
      </w:r>
      <w:r>
        <w:rPr>
          <w:rFonts w:hint="eastAsia"/>
          <w:lang w:val="zh-CN"/>
        </w:rPr>
        <w:t xml:space="preserve">测算，云服务</w:t>
      </w:r>
      <w:r>
        <w:rPr>
          <w:lang w:val="zh-CN"/>
        </w:rPr>
        <w:t xml:space="preserve"> </w:t>
      </w:r>
      <m:oMath>
        <m:r>
          <m:rPr>
            <m:sty m:val="p"/>
          </m:rPr>
          <m:t>L</m:t>
        </m:r>
        <m:r>
          <m:rPr>
            <m:sty m:val="p"/>
          </m:rPr>
          <m:t>T</m:t>
        </m:r>
        <m:r>
          <m:rPr>
            <m:sty m:val="p"/>
          </m:rPr>
          <m:t>V</m:t>
        </m:r>
        <m:r>
          <m:rPr>
            <m:sty m:val="p"/>
          </m:rPr>
          <m:t>/</m:t>
        </m:r>
        <m:r>
          <m:rPr>
            <m:sty m:val="p"/>
          </m:rPr>
          <m:t>C</m:t>
        </m:r>
        <m:r>
          <m:rPr>
            <m:sty m:val="p"/>
          </m:rPr>
          <m:t>A</m:t>
        </m:r>
        <m:r>
          <m:rPr>
            <m:sty m:val="p"/>
          </m:rPr>
          <m:t>C</m:t>
        </m:r>
        <m:r>
          <m:rPr>
            <m:sty m:val="p"/>
          </m:rPr>
          <m:t>=</m:t>
        </m:r>
        <m:r>
          <m:t>4.3</m:t>
        </m:r>
      </m:oMath>
      <w:r>
        <w:rPr>
          <w:rFonts w:hint="eastAsia"/>
          <w:lang w:val="zh-CN"/>
        </w:rPr>
        <w:t xml:space="preserve">，高于行业经验值</w:t>
      </w:r>
      <w:r>
        <w:rPr>
          <w:lang w:val="zh-CN"/>
        </w:rPr>
        <w:t xml:space="preserve"> </w:t>
      </w:r>
      <w:r>
        <w:rPr>
          <w:rFonts w:hint="eastAsia"/>
          <w:lang w:val="zh-CN"/>
        </w:rPr>
        <w:t xml:space="preserve">3.0：</w:t>
      </w:r>
    </w:p>
    <w:p>
      <w:pPr>
        <w:pStyle w:val="DFEquation"/>
      </w:pPr>
      <w:r>
        <w:tab/>
      </w:r>
      <m:oMath>
        <m:r>
          <m:rPr>
            <m:sty m:val="p"/>
          </m:rPr>
          <m:t>L</m:t>
        </m:r>
        <m:r>
          <m:rPr>
            <m:sty m:val="p"/>
          </m:rPr>
          <m:t>T</m:t>
        </m:r>
        <m:r>
          <m:rPr>
            <m:sty m:val="p"/>
          </m:rPr>
          <m:t>V</m:t>
        </m:r>
        <m:r>
          <m:rPr>
            <m:sty m:val="p"/>
          </m:rPr>
          <m:t>=</m:t>
        </m:r>
        <m:nary>
          <m:naryPr>
            <m:chr m:val="∑"/>
            <m:limLoc m:val="undOvr"/>
            <m:subHide m:val="off"/>
            <m:supHide m:val="off"/>
          </m:naryPr>
          <m:sub>
            <m:r>
              <m:t>t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T</m:t>
            </m:r>
          </m:sup>
          <m:e>
            <m:f>
              <m:fPr>
                <m:type m:val="bar"/>
              </m:fPr>
              <m:num>
                <m:r>
                  <m:t>m</m:t>
                </m:r>
                <m:r>
                  <m:rPr>
                    <m:sty m:val="p"/>
                  </m:rPr>
                  <m:t>⋅</m:t>
                </m:r>
                <m:sSub>
                  <m:e>
                    <m:r>
                      <m:rPr>
                        <m:sty m:val="p"/>
                      </m:rPr>
                      <m:t>A</m:t>
                    </m:r>
                    <m:r>
                      <m:rPr>
                        <m:sty m:val="p"/>
                      </m:rPr>
                      <m:t>R</m:t>
                    </m:r>
                    <m:r>
                      <m:rPr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U</m:t>
                    </m:r>
                  </m:e>
                  <m:sub>
                    <m:r>
                      <m:t>t</m:t>
                    </m:r>
                  </m:sub>
                </m:sSub>
                <m:r>
                  <m:rPr>
                    <m:sty m:val="p"/>
                  </m:rPr>
                  <m:t>⋅</m:t>
                </m:r>
                <m:sSup>
                  <m:e>
                    <m:r>
                      <m:t>r</m:t>
                    </m:r>
                  </m:e>
                  <m:sup>
                    <m:r>
                      <m:t> </m:t>
                    </m:r>
                    <m:r>
                      <m:t>t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p>
                </m:sSup>
              </m:num>
              <m:den>
                <m:r>
                  <m:rPr>
                    <m:sty m:val="p"/>
                  </m:rPr>
                  <m:t>(</m:t>
                </m:r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t>d</m:t>
                </m:r>
                <m:sSup>
                  <m:e>
                    <m:r>
                      <m:rPr>
                        <m:sty m:val="p"/>
                      </m:rPr>
                      <m:t>)</m:t>
                    </m:r>
                  </m:e>
                  <m:sup>
                    <m:r>
                      <m:t>t</m:t>
                    </m:r>
                  </m:sup>
                </m:sSup>
              </m:den>
            </m:f>
          </m:e>
        </m:nary>
        <m:r>
          <m:rPr>
            <m:sty m:val="p"/>
          </m:rPr>
          <m:t>,</m:t>
        </m:r>
        <m:r>
          <m:t>  </m:t>
        </m:r>
        <m:r>
          <m:t>r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rPr>
            <m:nor/>
            <m:sty m:val="p"/>
          </m:rPr>
          <m:t>流失率</m:t>
        </m:r>
        <m:r>
          <m:rPr>
            <m:sty m:val="p"/>
          </m:rPr>
          <m:t>,</m:t>
        </m:r>
        <m:r>
          <m:t> </m:t>
        </m:r>
        <m:r>
          <m:t>d</m:t>
        </m:r>
        <m:r>
          <m:rPr>
            <m:sty m:val="p"/>
          </m:rPr>
          <m:t>=</m:t>
        </m:r>
        <m:r>
          <m:t>8</m:t>
        </m:r>
        <m:r>
          <m:rPr>
            <m:sty m:val="p"/>
          </m:rPr>
          <m:t>%</m:t>
        </m:r>
      </m:oMath>
      <w:r>
        <w:tab/>
      </w:r>
      <w:bookmarkStart w:id="21" w:name="eq_ltv"/>
      <w:r>
        <w:rPr>
          <w:lang w:val="zh-CN"/>
        </w:rPr>
        <w:t xml:space="preserve">(2)</w:t>
      </w:r>
      <w:bookmarkEnd w:id="21"/>
    </w:p>
    <w:p>
      <w:pPr>
        <w:pStyle w:val="DFPara4"/>
      </w:pPr>
      <w:r>
        <w:rPr>
          <w:rFonts w:hint="eastAsia"/>
          <w:b/>
          <w:bCs/>
          <w:lang w:val="zh-CN"/>
        </w:rPr>
        <w:t xml:space="preserve">管理层解读</w:t>
      </w:r>
    </w:p>
    <w:p>
      <w:pPr>
        <w:pStyle w:val="DFPara3"/>
      </w:pPr>
      <w:r>
        <w:rPr>
          <w:rFonts w:hint="eastAsia"/>
          <w:lang w:val="zh-CN"/>
        </w:rPr>
        <w:t xml:space="preserve">毛利率提升的</w:t>
      </w:r>
      <w:r>
        <w:rPr>
          <w:lang w:val="zh-CN"/>
        </w:rPr>
        <w:t xml:space="preserve"> </w:t>
      </w:r>
      <w:r>
        <w:rPr>
          <w:b/>
          <w:bCs/>
          <w:lang w:val="zh-CN"/>
        </w:rPr>
        <w:t xml:space="preserve">0.9 pt</w:t>
      </w:r>
      <w:r>
        <w:rPr>
          <w:lang w:val="zh-CN"/>
        </w:rPr>
        <w:t xml:space="preserve"> </w:t>
      </w:r>
      <w:r>
        <w:rPr>
          <w:rFonts w:hint="eastAsia"/>
          <w:lang w:val="zh-CN"/>
        </w:rPr>
        <w:t xml:space="preserve">来自产品结构（高毛利云服务占比上升），</w:t>
      </w:r>
      <w:r>
        <w:rPr>
          <w:b/>
          <w:bCs/>
          <w:lang w:val="zh-CN"/>
        </w:rPr>
        <w:t xml:space="preserve">0.3 pt</w:t>
      </w:r>
      <w:r>
        <w:rPr>
          <w:lang w:val="zh-CN"/>
        </w:rPr>
        <w:t xml:space="preserve"> </w:t>
      </w:r>
      <w:r>
        <w:rPr>
          <w:rFonts w:hint="eastAsia"/>
          <w:lang w:val="zh-CN"/>
        </w:rPr>
        <w:t xml:space="preserve">来自交付自动化；见</w:t>
      </w:r>
      <w:r>
        <w:rPr>
          <w:lang w:val="zh-CN"/>
        </w:rPr>
        <w:t xml:space="preserve"> </w:t>
      </w:r>
      <w:hyperlink w:anchor="sec_kpi">
        <w:r>
          <w:rPr>
            <w:rStyle w:val="Hyperlink"/>
            <w:rFonts w:hint="eastAsia"/>
            <w:lang w:val="zh-CN"/>
          </w:rPr>
          <w:t xml:space="preserve">核心指标</w:t>
        </w:r>
      </w:hyperlink>
      <w:r>
        <w:rPr>
          <w:lang w:val="zh-CN"/>
        </w:rPr>
        <w:t xml:space="preserve"> </w:t>
      </w:r>
      <w:r>
        <w:rPr>
          <w:rFonts w:hint="eastAsia"/>
          <w:lang w:val="zh-CN"/>
        </w:rPr>
        <w:t xml:space="preserve">与</w:t>
      </w:r>
      <w:r>
        <w:rPr>
          <w:lang w:val="zh-CN"/>
        </w:rPr>
        <w:t xml:space="preserve"> </w:t>
      </w:r>
      <w:hyperlink w:anchor="tbl_region">
        <w:r>
          <w:rPr>
            <w:rStyle w:val="Hyperlink"/>
            <w:rFonts w:hint="eastAsia"/>
            <w:lang w:val="zh-CN"/>
          </w:rPr>
          <w:t xml:space="preserve">表</w:t>
        </w:r>
        <w:r>
          <w:rPr>
            <w:rStyle w:val="Hyperlink"/>
            <w:lang w:val="zh-CN"/>
          </w:rPr>
          <w:t xml:space="preserve"> 2</w:t>
        </w:r>
      </w:hyperlink>
      <w:r>
        <w:rPr>
          <w:lang w:val="zh-CN"/>
        </w:rPr>
        <w:t xml:space="preserve">。</w:t>
      </w:r>
    </w:p>
    <w:p>
      <w:pPr>
        <w:pStyle w:val="Heading1"/>
      </w:pPr>
      <w:bookmarkStart w:id="26" w:name="sec_next"/>
      <w:r>
        <w:rPr>
          <w:rStyle w:val="SectionNumber"/>
          <w:lang w:val="zh-CN"/>
        </w:rPr>
        <w:t xml:space="preserve">3</w:t>
      </w:r>
      <w:r>
        <w:tab/>
      </w:r>
      <w:r>
        <w:rPr>
          <w:rFonts w:hint="eastAsia"/>
          <w:lang w:val="zh-CN"/>
        </w:rPr>
        <w:t xml:space="preserve">风险与第四季度安排</w:t>
      </w:r>
      <w:bookmarkEnd w:id="26"/>
    </w:p>
    <w:p>
      <w:pPr>
        <w:pStyle w:val="TableCaption"/>
      </w:pPr>
      <w:bookmarkStart w:id="25" w:name="tbl_risk"/>
      <w:bookmarkStart w:id="24" w:name="tbl_risk"/>
      <w:r>
        <w:rPr>
          <w:rFonts w:hint="eastAsia"/>
          <w:lang w:val="zh-CN"/>
        </w:rPr>
        <w:t xml:space="preserve">表</w:t>
      </w:r>
      <w:r>
        <w:rPr>
          <w:lang w:val="zh-CN"/>
        </w:rPr>
        <w:t xml:space="preserve"> </w:t>
      </w:r>
      <w:fldSimple w:instr="SEQ Table \* ARABIC ">
        <w:r>
          <w:t>3</w:t>
        </w:r>
      </w:fldSimple>
      <w:bookmarkEnd w:id="24"/>
      <w:r>
        <w:rPr>
          <w:lang w:val="zh-CN"/>
        </w:rPr>
        <w:t xml:space="preserve">　</w:t>
      </w:r>
      <w:r>
        <w:rPr>
          <w:rFonts w:hint="eastAsia"/>
          <w:lang w:val="zh-CN"/>
        </w:rPr>
        <w:t xml:space="preserve">主要风险与应对</w:t>
      </w:r>
      <w:bookmarkEnd w:id="25"/>
    </w:p>
    <w:tbl>
      <w:tblPr>
        <w:tblStyle w:val="Table"/>
        <w:tblW w:type="dxa" w:w="7920"/>
        <w:jc w:val="center"/>
        <w:tblBorders>
          <w:top w:val="single" w:sz="4" w:space="0" w:color="C9D1DB"/>
          <w:left w:val="single" w:sz="4" w:space="0" w:color="C9D1DB"/>
          <w:bottom w:val="single" w:sz="4" w:space="0" w:color="C9D1DB"/>
          <w:right w:val="single" w:sz="4" w:space="0" w:color="C9D1DB"/>
          <w:insideH w:val="single" w:sz="4" w:space="0" w:color="C9D1DB"/>
          <w:insideV w:val="single" w:sz="4" w:space="0" w:color="C9D1DB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Row="1" w:lastRow="0" w:firstColumn="0" w:lastColumn="0" w:noHBand="0" w:noVBand="0" w:val="0020"/>
        <w:tblCaption w:val="主要风险与应对"/>
      </w:tblPr>
      <w:tblGrid>
        <w:gridCol w:w="1188"/>
        <w:gridCol w:w="1584"/>
        <w:gridCol w:w="1188"/>
        <w:gridCol w:w="1980"/>
        <w:gridCol w:w="1980"/>
      </w:tblGrid>
      <w:tr>
        <w:trPr>
          <w:cantSplit/>
          <w:tblHeader w:val="on"/>
        </w:trPr>
        <w:tc>
          <w:tcPr>
            <w:shd w:val="clear" w:color="auto" w:fill="1F4E79"/>
            <w:vAlign w:val="center"/>
          </w:tcPr>
          <w:p>
            <w:pPr>
              <w:pStyle w:val="DFTableText"/>
              <w:jc w:val="left"/>
            </w:pPr>
            <w:r>
              <w:rPr>
                <w:rFonts w:hint="eastAsia"/>
                <w:b/>
                <w:bCs/>
                <w:color w:val="FFFFFF"/>
                <w:lang w:val="zh-CN"/>
              </w:rPr>
              <w:t xml:space="preserve">风险</w:t>
            </w:r>
          </w:p>
        </w:tc>
        <w:tc>
          <w:tcPr>
            <w:shd w:val="clear" w:color="auto" w:fill="1F4E79"/>
            <w:vAlign w:val="center"/>
          </w:tcPr>
          <w:p>
            <w:pPr>
              <w:pStyle w:val="DFTableText"/>
              <w:jc w:val="center"/>
            </w:pPr>
            <w:r>
              <w:rPr>
                <w:rFonts w:hint="eastAsia"/>
                <w:b/>
                <w:bCs/>
                <w:color w:val="FFFFFF"/>
                <w:lang w:val="zh-CN"/>
              </w:rPr>
              <w:t xml:space="preserve">可能性</w:t>
            </w:r>
          </w:p>
        </w:tc>
        <w:tc>
          <w:tcPr>
            <w:shd w:val="clear" w:color="auto" w:fill="1F4E79"/>
            <w:vAlign w:val="center"/>
          </w:tcPr>
          <w:p>
            <w:pPr>
              <w:pStyle w:val="DFTableText"/>
              <w:jc w:val="center"/>
            </w:pPr>
            <w:r>
              <w:rPr>
                <w:rFonts w:hint="eastAsia"/>
                <w:b/>
                <w:bCs/>
                <w:color w:val="FFFFFF"/>
                <w:lang w:val="zh-CN"/>
              </w:rPr>
              <w:t xml:space="preserve">影响</w:t>
            </w:r>
          </w:p>
        </w:tc>
        <w:tc>
          <w:tcPr>
            <w:shd w:val="clear" w:color="auto" w:fill="1F4E79"/>
            <w:vAlign w:val="center"/>
          </w:tcPr>
          <w:p>
            <w:pPr>
              <w:pStyle w:val="DFTableText"/>
              <w:jc w:val="left"/>
            </w:pPr>
            <w:r>
              <w:rPr>
                <w:rFonts w:hint="eastAsia"/>
                <w:b/>
                <w:bCs/>
                <w:color w:val="FFFFFF"/>
                <w:lang w:val="zh-CN"/>
              </w:rPr>
              <w:t xml:space="preserve">应对措施</w:t>
            </w:r>
          </w:p>
        </w:tc>
        <w:tc>
          <w:tcPr>
            <w:shd w:val="clear" w:color="auto" w:fill="1F4E79"/>
            <w:vAlign w:val="center"/>
          </w:tcPr>
          <w:p>
            <w:pPr>
              <w:pStyle w:val="DFTableText"/>
              <w:jc w:val="center"/>
            </w:pPr>
            <w:r>
              <w:rPr>
                <w:rFonts w:hint="eastAsia"/>
                <w:b/>
                <w:bCs/>
                <w:color w:val="FFFFFF"/>
                <w:lang w:val="zh-CN"/>
              </w:rPr>
              <w:t xml:space="preserve">责任部门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  <w:jc w:val="left"/>
            </w:pPr>
            <w:r>
              <w:rPr>
                <w:rFonts w:hint="eastAsia"/>
                <w:lang w:val="zh-CN"/>
              </w:rPr>
              <w:t xml:space="preserve">大客户回款延迟</w:t>
            </w:r>
          </w:p>
        </w:tc>
        <w:tc>
          <w:tcPr>
            <w:vAlign w:val="center"/>
          </w:tcPr>
          <w:p>
            <w:pPr>
              <w:pStyle w:val="DFTableText"/>
              <w:jc w:val="center"/>
            </w:pPr>
            <w:r>
              <w:rPr>
                <w:rStyle w:val="DFChar10"/>
                <w:rFonts w:hint="eastAsia"/>
                <w:lang w:val="zh-CN"/>
              </w:rPr>
              <w:t xml:space="preserve">高</w:t>
            </w:r>
          </w:p>
        </w:tc>
        <w:tc>
          <w:tcPr>
            <w:vAlign w:val="center"/>
          </w:tcPr>
          <w:p>
            <w:pPr>
              <w:pStyle w:val="DFTableText"/>
              <w:jc w:val="center"/>
            </w:pPr>
            <w:r>
              <w:rPr>
                <w:rStyle w:val="DFChar10"/>
                <w:rFonts w:hint="eastAsia"/>
                <w:lang w:val="zh-CN"/>
              </w:rPr>
              <w:t xml:space="preserve">高</w:t>
            </w:r>
          </w:p>
        </w:tc>
        <w:tc>
          <w:tcPr>
            <w:vAlign w:val="center"/>
          </w:tcPr>
          <w:p>
            <w:pPr>
              <w:pStyle w:val="DFTableText"/>
              <w:jc w:val="left"/>
            </w:pPr>
            <w:r>
              <w:rPr>
                <w:rFonts w:hint="eastAsia"/>
                <w:lang w:val="zh-CN"/>
              </w:rPr>
              <w:t xml:space="preserve">合同增加分期节点，周度催收</w:t>
            </w:r>
          </w:p>
        </w:tc>
        <w:tc>
          <w:tcPr>
            <w:vAlign w:val="center"/>
          </w:tcPr>
          <w:p>
            <w:pPr>
              <w:pStyle w:val="DFTableText"/>
              <w:jc w:val="center"/>
            </w:pPr>
            <w:r>
              <w:rPr>
                <w:rFonts w:hint="eastAsia"/>
                <w:lang w:val="zh-CN"/>
              </w:rPr>
              <w:t xml:space="preserve">财务部</w:t>
            </w:r>
          </w:p>
        </w:tc>
      </w:tr>
      <w:tr>
        <w:trPr>
          <w:cantSplit/>
        </w:trPr>
        <w:tc>
          <w:tcPr>
            <w:shd w:val="clear" w:color="auto" w:fill="F3F6FA"/>
            <w:vAlign w:val="center"/>
          </w:tcPr>
          <w:p>
            <w:pPr>
              <w:pStyle w:val="DFTableText"/>
              <w:jc w:val="left"/>
            </w:pPr>
            <w:r>
              <w:rPr>
                <w:rFonts w:hint="eastAsia"/>
                <w:lang w:val="zh-CN"/>
              </w:rPr>
              <w:t xml:space="preserve">华北软件收入下滑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  <w:jc w:val="center"/>
            </w:pPr>
            <w:r>
              <w:rPr>
                <w:rStyle w:val="DFChar11"/>
                <w:rFonts w:hint="eastAsia"/>
                <w:lang w:val="zh-CN"/>
              </w:rPr>
              <w:t xml:space="preserve">中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  <w:jc w:val="center"/>
            </w:pPr>
            <w:r>
              <w:rPr>
                <w:rStyle w:val="DFChar11"/>
                <w:rFonts w:hint="eastAsia"/>
                <w:lang w:val="zh-CN"/>
              </w:rPr>
              <w:t xml:space="preserve">中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  <w:jc w:val="left"/>
            </w:pPr>
            <w:r>
              <w:rPr>
                <w:rFonts w:hint="eastAsia"/>
                <w:lang w:val="zh-CN"/>
              </w:rPr>
              <w:t xml:space="preserve">渠道调整，推出订阅制套餐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  <w:jc w:val="center"/>
            </w:pPr>
            <w:r>
              <w:rPr>
                <w:rFonts w:hint="eastAsia"/>
                <w:lang w:val="zh-CN"/>
              </w:rPr>
              <w:t xml:space="preserve">华北大区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  <w:jc w:val="left"/>
            </w:pPr>
            <w:r>
              <w:rPr>
                <w:rFonts w:hint="eastAsia"/>
                <w:lang w:val="zh-CN"/>
              </w:rPr>
              <w:t xml:space="preserve">海外汇率波动</w:t>
            </w:r>
          </w:p>
        </w:tc>
        <w:tc>
          <w:tcPr>
            <w:vAlign w:val="center"/>
          </w:tcPr>
          <w:p>
            <w:pPr>
              <w:pStyle w:val="DFTableText"/>
              <w:jc w:val="center"/>
            </w:pPr>
            <w:r>
              <w:rPr>
                <w:rStyle w:val="DFChar11"/>
                <w:rFonts w:hint="eastAsia"/>
                <w:lang w:val="zh-CN"/>
              </w:rPr>
              <w:t xml:space="preserve">中</w:t>
            </w:r>
          </w:p>
        </w:tc>
        <w:tc>
          <w:tcPr>
            <w:vAlign w:val="center"/>
          </w:tcPr>
          <w:p>
            <w:pPr>
              <w:pStyle w:val="DFTableText"/>
              <w:jc w:val="center"/>
            </w:pPr>
            <w:r>
              <w:rPr>
                <w:rStyle w:val="DFChar12"/>
                <w:rFonts w:hint="eastAsia"/>
                <w:lang w:val="zh-CN"/>
              </w:rPr>
              <w:t xml:space="preserve">低</w:t>
            </w:r>
          </w:p>
        </w:tc>
        <w:tc>
          <w:tcPr>
            <w:vAlign w:val="center"/>
          </w:tcPr>
          <w:p>
            <w:pPr>
              <w:pStyle w:val="DFTableText"/>
              <w:jc w:val="left"/>
            </w:pPr>
            <w:r>
              <w:rPr>
                <w:rFonts w:hint="eastAsia"/>
                <w:lang w:val="zh-CN"/>
              </w:rPr>
              <w:t xml:space="preserve">远期结汇覆盖</w:t>
            </w:r>
            <w:r>
              <w:rPr>
                <w:lang w:val="zh-CN"/>
              </w:rPr>
              <w:t xml:space="preserve"> 60% </w:t>
            </w:r>
            <w:r>
              <w:rPr>
                <w:rFonts w:hint="eastAsia"/>
                <w:lang w:val="zh-CN"/>
              </w:rPr>
              <w:t xml:space="preserve">敞口</w:t>
            </w:r>
          </w:p>
        </w:tc>
        <w:tc>
          <w:tcPr>
            <w:vAlign w:val="center"/>
          </w:tcPr>
          <w:p>
            <w:pPr>
              <w:pStyle w:val="DFTableText"/>
              <w:jc w:val="center"/>
            </w:pPr>
            <w:r>
              <w:rPr>
                <w:rFonts w:hint="eastAsia"/>
                <w:lang w:val="zh-CN"/>
              </w:rPr>
              <w:t xml:space="preserve">资金中心</w:t>
            </w:r>
          </w:p>
        </w:tc>
      </w:tr>
    </w:tbl>
    <w:p>
      <w:pPr>
        <w:pStyle w:val="Compact"/>
        <w:keepNext/>
        <w:numPr>
          <w:ilvl w:val="0"/>
          <w:numId w:val="1001"/>
        </w:numPr>
      </w:pPr>
      <w:r>
        <w:rPr>
          <w:rFonts w:ascii="Segoe UI Symbol" w:hAnsi="Segoe UI Symbol" w:eastAsia="MS Gothic"/>
        </w:rPr>
        <w:t xml:space="preserve">☒ </w:t>
      </w:r>
      <w:r>
        <w:rPr>
          <w:rFonts w:hint="eastAsia"/>
          <w:lang w:val="zh-CN"/>
        </w:rPr>
        <w:t xml:space="preserve">云服务交付团队扩编</w:t>
      </w:r>
      <w:r>
        <w:rPr>
          <w:lang w:val="zh-CN"/>
        </w:rPr>
        <w:t xml:space="preserve"> 30 </w:t>
      </w:r>
      <w:r>
        <w:rPr>
          <w:rFonts w:hint="eastAsia"/>
          <w:lang w:val="zh-CN"/>
        </w:rPr>
        <w:t xml:space="preserve">人（已到岗</w:t>
      </w:r>
      <w:r>
        <w:rPr>
          <w:lang w:val="zh-CN"/>
        </w:rPr>
        <w:t xml:space="preserve"> 22 </w:t>
      </w:r>
      <w:r>
        <w:rPr>
          <w:rFonts w:hint="eastAsia"/>
          <w:lang w:val="zh-CN"/>
        </w:rPr>
        <w:t xml:space="preserve">人）</w:t>
      </w:r>
    </w:p>
    <w:p>
      <w:pPr>
        <w:pStyle w:val="Compact"/>
        <w:keepNext/>
        <w:numPr>
          <w:ilvl w:val="0"/>
          <w:numId w:val="1001"/>
        </w:numPr>
      </w:pPr>
      <w:r>
        <w:rPr>
          <w:rFonts w:ascii="Segoe UI Symbol" w:hAnsi="Segoe UI Symbol" w:eastAsia="MS Gothic"/>
        </w:rPr>
        <w:t xml:space="preserve">☒ </w:t>
      </w:r>
      <w:r>
        <w:rPr>
          <w:rFonts w:hint="eastAsia"/>
          <w:lang w:val="zh-CN"/>
        </w:rPr>
        <w:t xml:space="preserve">上线自动化部署平台</w:t>
      </w:r>
      <w:r>
        <w:rPr>
          <w:lang w:val="zh-CN"/>
        </w:rPr>
        <w:t xml:space="preserve"> 2.0</w:t>
      </w:r>
    </w:p>
    <w:p>
      <w:pPr>
        <w:pStyle w:val="Compact"/>
        <w:keepNext/>
        <w:numPr>
          <w:ilvl w:val="0"/>
          <w:numId w:val="1001"/>
        </w:numPr>
      </w:pPr>
      <w:r>
        <w:rPr>
          <w:rFonts w:ascii="Segoe UI Symbol" w:hAnsi="Segoe UI Symbol" w:eastAsia="MS Gothic"/>
        </w:rPr>
        <w:t xml:space="preserve">☐ </w:t>
      </w:r>
      <w:r>
        <w:rPr>
          <w:rFonts w:hint="eastAsia"/>
          <w:lang w:val="zh-CN"/>
        </w:rPr>
        <w:t xml:space="preserve">应收周转天数降至</w:t>
      </w:r>
      <w:r>
        <w:rPr>
          <w:lang w:val="zh-CN"/>
        </w:rPr>
        <w:t xml:space="preserve"> </w:t>
      </w:r>
      <w:r>
        <w:rPr>
          <w:b/>
          <w:bCs/>
          <w:lang w:val="zh-CN"/>
        </w:rPr>
        <w:t xml:space="preserve">85 </w:t>
      </w:r>
      <w:r>
        <w:rPr>
          <w:rFonts w:hint="eastAsia"/>
          <w:b/>
          <w:bCs/>
          <w:lang w:val="zh-CN"/>
        </w:rPr>
        <w:t xml:space="preserve">天</w:t>
      </w:r>
      <w:r>
        <w:rPr>
          <w:rFonts w:hint="eastAsia"/>
          <w:lang w:val="zh-CN"/>
        </w:rPr>
        <w:t xml:space="preserve">以内</w:t>
      </w:r>
    </w:p>
    <w:p>
      <w:pPr>
        <w:pStyle w:val="Compact"/>
        <w:numPr>
          <w:ilvl w:val="0"/>
          <w:numId w:val="1001"/>
        </w:numPr>
      </w:pPr>
      <w:r>
        <w:rPr>
          <w:rFonts w:ascii="Segoe UI Symbol" w:hAnsi="Segoe UI Symbol" w:eastAsia="MS Gothic"/>
        </w:rPr>
        <w:t xml:space="preserve">☐ </w:t>
      </w:r>
      <w:r>
        <w:rPr>
          <w:rFonts w:hint="eastAsia"/>
          <w:lang w:val="zh-CN"/>
        </w:rPr>
        <w:t xml:space="preserve">海外中东区域设立本地服务中心</w:t>
      </w:r>
    </w:p>
    <w:p>
      <w:pPr>
        <w:pStyle w:val="BlockText"/>
      </w:pPr>
      <w:r>
        <w:rPr>
          <w:rFonts w:hint="eastAsia"/>
          <w:lang w:val="zh-CN"/>
        </w:rPr>
        <w:t xml:space="preserve">「增长的质量比速度更重要。」——董事长在第三季度经营会上的讲话</w:t>
      </w:r>
    </w:p>
    <w:sectPr>
      <w:headerReference w:type="default" r:id="rIdDfHeader1"/>
      <w:footerReference r:id="rIdDfFooter1" w:type="default"/>
      <w:footerReference w:type="first" r:id="rIdDfFooter1"/>
      <w:footnotePr>
        <w:numRestart w:val="eachSect"/>
      </w:footnotePr>
      <w:pgSz w:h="16838" w:w="11906"/>
      <w:pgMar w:bottom="1417" w:footer="709" w:gutter="0" w:header="851" w:left="1417" w:right="1417" w:top="1417"/>
      <w:cols w:space="425"/>
      <w:titlePg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</w:font>
  <w:font w:name="游明朝">
    <w:altName w:val="Yu Mincho"/>
    <w:panose1 w:val="02020400000000000000"/>
    <w:charset w:val="80"/>
    <w:family w:val="roman"/>
    <w:pitch w:val="variable"/>
  </w:font>
  <w:font w:name="游ゴシック">
    <w:altName w:val="Yu Gothic"/>
    <w:panose1 w:val="020B0400000000000000"/>
    <w:charset w:val="80"/>
    <w:family w:val="swiss"/>
    <w:pitch w:val="variable"/>
  </w:font>
  <w:font w:name="黑体">
    <w:altName w:val="SimHei"/>
    <w:panose1 w:val="02010609060101010101"/>
    <w:charset w:val="86"/>
    <w:family w:val="modern"/>
    <w:pitch w:val="variable"/>
  </w:font>
  <w:font w:name="楷体">
    <w:altName w:val="KaiTi"/>
    <w:panose1 w:val="02010609060101010101"/>
    <w:charset w:val="86"/>
    <w:family w:val="modern"/>
    <w:pitch w:val="fixed"/>
  </w:font>
  <w:font w:name="仿宋">
    <w:altName w:val="FangSong"/>
    <w:panose1 w:val="02010609060101010101"/>
    <w:charset w:val="86"/>
    <w:family w:val="modern"/>
    <w:pitch w:val="fixed"/>
  </w:font>
  <w:font w:name="微软雅黑">
    <w:altName w:val="Microsoft YaHei"/>
    <w:panose1 w:val="020B0503020204020204"/>
    <w:charset w:val="86"/>
    <w:family w:val="swiss"/>
    <w:pitch w:val="variable"/>
  </w:font>
  <w:font w:name="Consolas">
    <w:altName w:val="Menlo"/>
    <w:panose1 w:val="020B0609020204030204"/>
    <w:charset w:val="00"/>
    <w:family w:val="modern"/>
    <w:pitch w:val="fixed"/>
  </w:font>
  <w:font w:name="Arial">
    <w:altName w:val="Helvetica"/>
    <w:panose1 w:val="020B0604020202020204"/>
    <w:charset w:val="00"/>
    <w:family w:val="swiss"/>
    <w:pitch w:val="variable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6B7280"/>
        <w:sz w:val="18"/>
      </w:rPr>
      <w:t xml:space="preserve">第 </w:t>
    </w:r>
    <w:r>
      <w:rPr>
        <w:color w:val="6B7280"/>
        <w:sz w:val="18"/>
      </w:rPr>
      <w:fldChar w:fldCharType="begin"/>
    </w:r>
    <w:r>
      <w:rPr>
        <w:color w:val="6B7280"/>
        <w:sz w:val="18"/>
      </w:rPr>
      <w:instrText xml:space="preserve"> PAGE </w:instrText>
    </w:r>
    <w:r>
      <w:rPr>
        <w:color w:val="6B7280"/>
        <w:sz w:val="18"/>
      </w:rPr>
      <w:fldChar w:fldCharType="separate"/>
    </w:r>
    <w:r>
      <w:rPr>
        <w:color w:val="6B7280"/>
        <w:sz w:val="18"/>
      </w:rPr>
      <w:t>1</w:t>
    </w:r>
    <w:r>
      <w:rPr>
        <w:color w:val="6B7280"/>
        <w:sz w:val="18"/>
      </w:rPr>
      <w:fldChar w:fldCharType="end"/>
    </w:r>
    <w:r>
      <w:rPr>
        <w:color w:val="6B7280"/>
        <w:sz w:val="18"/>
      </w:rPr>
      <w:t xml:space="preserve"> 页  共 </w:t>
    </w:r>
    <w:r>
      <w:rPr>
        <w:color w:val="6B7280"/>
        <w:sz w:val="18"/>
      </w:rPr>
      <w:fldChar w:fldCharType="begin"/>
    </w:r>
    <w:r>
      <w:rPr>
        <w:color w:val="6B7280"/>
        <w:sz w:val="18"/>
      </w:rPr>
      <w:instrText xml:space="preserve"> NUMPAGES </w:instrText>
    </w:r>
    <w:r>
      <w:rPr>
        <w:color w:val="6B7280"/>
        <w:sz w:val="18"/>
      </w:rPr>
      <w:fldChar w:fldCharType="separate"/>
    </w:r>
    <w:r>
      <w:rPr>
        <w:color w:val="6B7280"/>
        <w:sz w:val="18"/>
      </w:rPr>
      <w:t>1</w:t>
    </w:r>
    <w:r>
      <w:rPr>
        <w:color w:val="6B7280"/>
        <w:sz w:val="18"/>
      </w:rPr>
      <w:fldChar w:fldCharType="end"/>
    </w:r>
    <w:r>
      <w:rPr>
        <w:color w:val="6B7280"/>
        <w:sz w:val="18"/>
      </w:rPr>
      <w:t xml:space="preserve"> 页</w:t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  <w:footnote w:id="9">
    <w:p>
      <w:pPr>
        <w:pStyle w:val="FootnoteText"/>
      </w:pPr>
      <w:r>
        <w:rPr>
          <w:rStyle w:val="FootnoteReference"/>
        </w:rPr>
        <w:footnoteRef/>
      </w:r>
      <w:r>
        <w:rPr>
          <w:lang w:val="zh-CN"/>
        </w:rPr>
        <w:t xml:space="preserve"> </w:t>
      </w:r>
      <w:r>
        <w:rPr>
          <w:rFonts w:hint="eastAsia"/>
          <w:lang w:val="zh-CN"/>
        </w:rPr>
        <w:t xml:space="preserve">应收账款周转天数</w:t>
      </w:r>
      <w:r>
        <w:rPr>
          <w:lang w:val="zh-CN"/>
        </w:rPr>
        <w:t xml:space="preserve"> = </w:t>
      </w:r>
      <w:r>
        <w:rPr>
          <w:rFonts w:hint="eastAsia"/>
          <w:lang w:val="zh-CN"/>
        </w:rPr>
        <w:t xml:space="preserve">期末应收账款余额</w:t>
      </w:r>
      <w:r>
        <w:rPr>
          <w:lang w:val="zh-CN"/>
        </w:rPr>
        <w:t xml:space="preserve"> ÷ </w:t>
      </w:r>
      <w:r>
        <w:rPr>
          <w:rFonts w:hint="eastAsia"/>
          <w:lang w:val="zh-CN"/>
        </w:rPr>
        <w:t xml:space="preserve">季度营业收入</w:t>
      </w:r>
      <w:r>
        <w:rPr>
          <w:lang w:val="zh-CN"/>
        </w:rPr>
        <w:t xml:space="preserve"> × 91。</w:t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pBdr>
        <w:bottom w:val="single" w:sz="4" w:space="4" w:color="CED6DF"/>
      </w:pBdr>
      <w:tabs>
        <w:tab w:val="right" w:pos="9071"/>
      </w:tabs>
      <w:spacing w:after="0"/>
      <w:jc w:val="left"/>
    </w:pPr>
    <w:r>
      <w:rPr>
        <w:color w:val="6B7280"/>
        <w:sz w:val="18"/>
        <w:szCs w:val="18"/>
      </w:rPr>
      <w:t xml:space="preserve">2026 年第三季度经营分析报告</w:t>
    </w:r>
    <w:r>
      <w:rPr>
        <w:color w:val="6B7280"/>
        <w:sz w:val="18"/>
        <w:szCs w:val="18"/>
      </w:rPr>
      <w:tab/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 xml:space="preserve"> STYLEREF "heading 1" \* MERGEFORMAT </w:instrText>
    </w:r>
    <w:r>
      <w:rPr>
        <w:color w:val="6B7280"/>
        <w:sz w:val="18"/>
        <w:szCs w:val="18"/>
      </w:rPr>
      <w:fldChar w:fldCharType="separate"/>
    </w:r>
    <w:r>
      <w:rPr>
        <w:color w:val="6B7280"/>
        <w:sz w:val="18"/>
        <w:szCs w:val="18"/>
      </w:rPr>
      <w:t/>
    </w:r>
    <w:r>
      <w:rPr>
        <w:color w:val="6B7280"/>
        <w:sz w:val="18"/>
        <w:szCs w:val="18"/>
      </w:rPr>
      <w:fldChar w:fldCharType="end"/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ExpandShiftReturn/>
  </w:compat>
  <w:rsids>
  </w:rsids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cs="Times New Roman" w:eastAsia="宋体" w:hAnsi="Times New Roman" w:hint="eastAsia"/>
        <w:sz w:val="22"/>
        <w:szCs w:val="22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pacing w:after="0" w:line="394" w:lineRule="atLeast"/>
      <w:jc w:val="both"/>
    </w:pPr>
    <w:rPr>
      <w:rFonts w:ascii="Times New Roman" w:cs="Times New Roman" w:eastAsia="宋体" w:hAnsi="Times New Roman" w:hint="eastAsia"/>
      <w:color w:val="222222"/>
      <w:kern w:val="0"/>
      <w:sz w:val="22"/>
      <w:szCs w:val="22"/>
      <w:lang w:eastAsia="zh-CN" w:val="en-US"/>
    </w:rPr>
  </w:style>
  <w:style w:styleId="BodyText" w:type="paragraph">
    <w:name w:val="Body Text"/>
    <w:basedOn w:val="Normal"/>
    <w:next w:val="BodyText"/>
    <w:link w:val="BodyTextChar"/>
    <w:qFormat/>
    <w:pPr>
      <w:spacing w:after="120" w:before="60"/>
    </w:pPr>
  </w:style>
  <w:style w:styleId="FirstParagraph" w:type="paragraph">
    <w:name w:val="First Paragraph"/>
    <w:basedOn w:val="BodyText"/>
    <w:next w:val="BodyText"/>
    <w:qFormat/>
  </w:style>
  <w:style w:styleId="Compact" w:type="paragraph">
    <w:name w:val="Compact"/>
    <w:basedOn w:val="BodyText"/>
    <w:qFormat/>
    <w:pPr>
      <w:spacing w:after="20" w:before="20" w:line="300" w:lineRule="auto"/>
      <w:ind w:firstLine="0" w:firstLineChars="0"/>
      <w:jc w:val="left"/>
    </w:pPr>
  </w:style>
  <w:style w:styleId="Title" w:type="paragraph">
    <w:name w:val="Title"/>
    <w:basedOn w:val="Normal"/>
    <w:next w:val="BodyText"/>
    <w:qFormat/>
    <w:pPr>
      <w:spacing w:after="120" w:before="240" w:line="240" w:lineRule="auto"/>
      <w:jc w:val="center"/>
    </w:pPr>
    <w:rPr>
      <w:rFonts w:ascii="Arial" w:cs="Arial" w:eastAsia="黑体" w:hAnsi="Arial" w:hint="eastAsia"/>
      <w:b/>
      <w:bCs/>
      <w:color w:val="1F4E79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Normal"/>
    <w:next w:val="BodyText"/>
    <w:qFormat/>
    <w:pPr>
      <w:spacing w:after="160" w:before="0"/>
      <w:jc w:val="center"/>
    </w:pPr>
    <w:rPr>
      <w:rFonts w:ascii="Arial" w:cs="Arial" w:eastAsia="黑体" w:hAnsi="Arial" w:hint="eastAsia"/>
      <w:color w:val="6B7280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styleId="Author" w:type="paragraph">
    <w:name w:val="Author"/>
    <w:basedOn w:val="Normal"/>
    <w:next w:val="BodyText"/>
    <w:qFormat/>
    <w:pPr>
      <w:spacing w:after="40"/>
      <w:jc w:val="center"/>
    </w:pPr>
    <w:rPr>
      <w:color w:val="6B7280"/>
    </w:rPr>
  </w:style>
  <w:style w:styleId="Date" w:type="paragraph">
    <w:name w:val="Date"/>
    <w:basedOn w:val="Normal"/>
    <w:next w:val="BodyText"/>
    <w:qFormat/>
    <w:pPr>
      <w:pBdr>
        <w:bottom w:color="1F4E79" w:space="8" w:sz="8" w:val="single"/>
      </w:pBdr>
      <w:spacing w:after="240"/>
      <w:jc w:val="center"/>
    </w:pPr>
    <w:rPr>
      <w:color w:val="6B7280"/>
      <w:sz w:val="20"/>
    </w:rPr>
  </w:style>
  <w:style w:styleId="AbstractTitle" w:type="paragraph">
    <w:name w:val="Abstract Title"/>
    <w:basedOn w:val="Normal"/>
    <w:next w:val="Abstract"/>
    <w:qFormat/>
    <w:pPr>
      <w:keepNext/>
      <w:spacing w:after="60" w:before="200"/>
      <w:jc w:val="center"/>
    </w:pPr>
    <w:rPr>
      <w:rFonts w:ascii="Arial" w:cs="Arial" w:eastAsia="黑体" w:hAnsi="Arial" w:hint="eastAsia"/>
      <w:b/>
      <w:color w:val="1F4E79"/>
    </w:rPr>
  </w:style>
  <w:style w:styleId="Abstract" w:type="paragraph">
    <w:name w:val="Abstract"/>
    <w:basedOn w:val="Normal"/>
    <w:next w:val="BodyText"/>
    <w:qFormat/>
    <w:pPr>
      <w:spacing w:after="200" w:before="60"/>
      <w:ind w:left="567" w:right="567"/>
    </w:pPr>
    <w:rPr>
      <w:color w:val="6B7280"/>
      <w:sz w:val="21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pBdr>
        <w:bottom w:color="9AAFC3" w:space="4" w:sz="6" w:val="single"/>
      </w:pBdr>
      <w:spacing w:after="160" w:before="360" w:line="300" w:lineRule="auto"/>
      <w:ind w:firstLine="0" w:firstLineChars="0"/>
      <w:jc w:val="left"/>
      <w:outlineLvl w:val="0"/>
    </w:pPr>
    <w:rPr>
      <w:rFonts w:ascii="Arial" w:cs="Arial" w:eastAsia="黑体" w:hAnsi="Arial" w:hint="eastAsia"/>
      <w:b/>
      <w:bCs/>
      <w:color w:val="1F4E79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after="120" w:before="280" w:line="300" w:lineRule="auto"/>
      <w:ind w:firstLine="0" w:firstLineChars="0"/>
      <w:jc w:val="left"/>
      <w:outlineLvl w:val="1"/>
    </w:pPr>
    <w:rPr>
      <w:rFonts w:ascii="Arial" w:cs="Arial" w:eastAsia="黑体" w:hAnsi="Arial" w:hint="eastAsia"/>
      <w:b/>
      <w:bCs/>
      <w:color w:val="1F4E79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after="100" w:before="220" w:line="300" w:lineRule="auto"/>
      <w:ind w:firstLine="0" w:firstLineChars="0"/>
      <w:jc w:val="left"/>
      <w:outlineLvl w:val="2"/>
    </w:pPr>
    <w:rPr>
      <w:rFonts w:ascii="Arial" w:cs="Arial" w:eastAsia="黑体" w:hAnsi="Arial" w:hint="eastAsia"/>
      <w:b/>
      <w:bCs/>
      <w:color w:val="1F4E79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after="80" w:before="180" w:line="300" w:lineRule="auto"/>
      <w:ind w:firstLine="0" w:firstLineChars="0"/>
      <w:jc w:val="left"/>
      <w:outlineLvl w:val="3"/>
    </w:pPr>
    <w:rPr>
      <w:rFonts w:ascii="Arial" w:cs="Arial" w:eastAsia="黑体" w:hAnsi="Arial" w:hint="eastAsia"/>
      <w:b/>
      <w:bCs/>
      <w:color w:val="1F4E79"/>
      <w:sz w:val="24"/>
      <w:szCs w:val="24"/>
    </w:rPr>
  </w:style>
  <w:style w:styleId="Heading5" w:type="paragraph">
    <w:name w:val="heading 5"/>
    <w:basedOn w:val="Normal"/>
    <w:next w:val="BodyText"/>
    <w:link w:val="Heading5Char"/>
    <w:uiPriority w:val="9"/>
    <w:qFormat/>
    <w:pPr>
      <w:keepNext/>
      <w:keepLines/>
      <w:spacing w:after="60" w:before="160" w:line="300" w:lineRule="auto"/>
      <w:ind w:firstLine="0" w:firstLineChars="0"/>
      <w:jc w:val="left"/>
      <w:outlineLvl w:val="4"/>
    </w:pPr>
    <w:rPr>
      <w:rFonts w:ascii="Arial" w:cs="Arial" w:eastAsia="黑体" w:hAnsi="Arial" w:hint="eastAsia"/>
      <w:b/>
      <w:bCs/>
      <w:color w:val="222222"/>
      <w:sz w:val="22"/>
      <w:szCs w:val="22"/>
    </w:rPr>
  </w:style>
  <w:style w:styleId="Heading6" w:type="paragraph">
    <w:name w:val="heading 6"/>
    <w:basedOn w:val="Normal"/>
    <w:next w:val="BodyText"/>
    <w:link w:val="Heading6Char"/>
    <w:uiPriority w:val="9"/>
    <w:qFormat/>
    <w:pPr>
      <w:keepNext/>
      <w:keepLines/>
      <w:spacing w:after="60" w:before="160" w:line="300" w:lineRule="auto"/>
      <w:ind w:firstLine="0" w:firstLineChars="0"/>
      <w:jc w:val="left"/>
      <w:outlineLvl w:val="5"/>
    </w:pPr>
    <w:rPr>
      <w:rFonts w:ascii="Arial" w:cs="Arial" w:eastAsia="黑体" w:hAnsi="Arial" w:hint="eastAsia"/>
      <w:b/>
      <w:bCs/>
      <w:color w:val="222222"/>
      <w:sz w:val="22"/>
      <w:szCs w:val="22"/>
    </w:rPr>
  </w:style>
  <w:style w:styleId="Heading7" w:type="paragraph">
    <w:name w:val="heading 7"/>
    <w:basedOn w:val="Normal"/>
    <w:next w:val="BodyText"/>
    <w:link w:val="Heading7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6"/>
    </w:pPr>
    <w:rPr>
      <w:rFonts w:ascii="Arial" w:cs="Arial" w:eastAsia="黑体" w:hAnsi="Arial" w:hint="eastAsia"/>
      <w:b/>
      <w:bCs/>
      <w:color w:val="222222"/>
      <w:sz w:val="22"/>
      <w:szCs w:val="22"/>
    </w:rPr>
  </w:style>
  <w:style w:styleId="Heading8" w:type="paragraph">
    <w:name w:val="heading 8"/>
    <w:basedOn w:val="Normal"/>
    <w:next w:val="BodyText"/>
    <w:link w:val="Heading8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7"/>
    </w:pPr>
    <w:rPr>
      <w:rFonts w:ascii="Arial" w:cs="Arial" w:eastAsia="黑体" w:hAnsi="Arial" w:hint="eastAsia"/>
      <w:b/>
      <w:bCs/>
      <w:color w:val="222222"/>
      <w:sz w:val="22"/>
      <w:szCs w:val="22"/>
    </w:rPr>
  </w:style>
  <w:style w:styleId="Heading9" w:type="paragraph">
    <w:name w:val="heading 9"/>
    <w:basedOn w:val="Normal"/>
    <w:next w:val="BodyText"/>
    <w:link w:val="Heading9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8"/>
    </w:pPr>
    <w:rPr>
      <w:rFonts w:ascii="Arial" w:cs="Arial" w:eastAsia="黑体" w:hAnsi="Arial" w:hint="eastAsia"/>
      <w:b/>
      <w:bCs/>
      <w:color w:val="222222"/>
      <w:sz w:val="22"/>
      <w:szCs w:val="22"/>
    </w:rPr>
  </w:style>
  <w:style w:customStyle="1" w:styleId="Heading1Char" w:type="character">
    <w:name w:val="Heading 1 Char"/>
    <w:rPr>
      <w:rFonts w:ascii="Arial" w:cs="Arial" w:eastAsia="黑体" w:hAnsi="Arial" w:hint="eastAsia"/>
      <w:b/>
      <w:bCs/>
      <w:color w:val="1F4E79"/>
      <w:sz w:val="40"/>
    </w:rPr>
  </w:style>
  <w:style w:customStyle="1" w:styleId="Heading2Char" w:type="character">
    <w:name w:val="Heading 2 Char"/>
    <w:rPr>
      <w:rFonts w:ascii="Arial" w:cs="Arial" w:eastAsia="黑体" w:hAnsi="Arial" w:hint="eastAsia"/>
      <w:b/>
      <w:bCs/>
      <w:color w:val="1F4E79"/>
      <w:sz w:val="32"/>
    </w:rPr>
  </w:style>
  <w:style w:customStyle="1" w:styleId="Heading3Char" w:type="character">
    <w:name w:val="Heading 3 Char"/>
    <w:rPr>
      <w:rFonts w:ascii="Arial" w:cs="Arial" w:eastAsia="黑体" w:hAnsi="Arial" w:hint="eastAsia"/>
      <w:b/>
      <w:bCs/>
      <w:color w:val="1F4E79"/>
      <w:sz w:val="28"/>
    </w:rPr>
  </w:style>
  <w:style w:customStyle="1" w:styleId="Heading4Char" w:type="character">
    <w:name w:val="Heading 4 Char"/>
    <w:rPr>
      <w:rFonts w:ascii="Arial" w:cs="Arial" w:eastAsia="黑体" w:hAnsi="Arial" w:hint="eastAsia"/>
      <w:b/>
      <w:bCs/>
      <w:color w:val="1F4E79"/>
      <w:sz w:val="24"/>
    </w:rPr>
  </w:style>
  <w:style w:customStyle="1" w:styleId="Heading5Char" w:type="character">
    <w:name w:val="Heading 5 Char"/>
    <w:rPr>
      <w:rFonts w:ascii="Arial" w:cs="Arial" w:eastAsia="黑体" w:hAnsi="Arial" w:hint="eastAsia"/>
      <w:b/>
      <w:bCs/>
      <w:color w:val="222222"/>
      <w:sz w:val="22"/>
    </w:rPr>
  </w:style>
  <w:style w:customStyle="1" w:styleId="Heading6Char" w:type="character">
    <w:name w:val="Heading 6 Char"/>
    <w:rPr>
      <w:rFonts w:ascii="Arial" w:cs="Arial" w:eastAsia="黑体" w:hAnsi="Arial" w:hint="eastAsia"/>
      <w:b/>
      <w:bCs/>
      <w:color w:val="222222"/>
      <w:sz w:val="22"/>
    </w:rPr>
  </w:style>
  <w:style w:customStyle="1" w:styleId="Heading7Char" w:type="character">
    <w:name w:val="Heading 7 Char"/>
    <w:rPr>
      <w:rFonts w:ascii="Arial" w:cs="Arial" w:eastAsia="黑体" w:hAnsi="Arial" w:hint="eastAsia"/>
      <w:b/>
      <w:bCs/>
      <w:color w:val="222222"/>
      <w:sz w:val="22"/>
    </w:rPr>
  </w:style>
  <w:style w:customStyle="1" w:styleId="Heading8Char" w:type="character">
    <w:name w:val="Heading 8 Char"/>
    <w:rPr>
      <w:rFonts w:ascii="Arial" w:cs="Arial" w:eastAsia="黑体" w:hAnsi="Arial" w:hint="eastAsia"/>
      <w:b/>
      <w:bCs/>
      <w:color w:val="222222"/>
      <w:sz w:val="22"/>
    </w:rPr>
  </w:style>
  <w:style w:customStyle="1" w:styleId="Heading9Char" w:type="character">
    <w:name w:val="Heading 9 Char"/>
    <w:rPr>
      <w:rFonts w:ascii="Arial" w:cs="Arial" w:eastAsia="黑体" w:hAnsi="Arial" w:hint="eastAsia"/>
      <w:b/>
      <w:bCs/>
      <w:color w:val="222222"/>
      <w:sz w:val="22"/>
    </w:rPr>
  </w:style>
  <w:style w:styleId="BlockText" w:type="paragraph">
    <w:name w:val="Block Text"/>
    <w:basedOn w:val="BodyText"/>
    <w:next w:val="BodyText"/>
    <w:qFormat/>
    <w:pPr>
      <w:pBdr>
        <w:left w:color="C9D1DB" w:space="8" w:sz="18" w:val="single"/>
      </w:pBdr>
      <w:shd w:color="auto" w:fill="F9F9FB" w:val="clear"/>
      <w:spacing w:after="60" w:before="60"/>
      <w:ind w:firstLine="0" w:firstLineChars="0" w:left="300" w:right="200"/>
    </w:pPr>
    <w:rPr>
      <w:color w:val="6B7280"/>
    </w:rPr>
  </w:style>
  <w:style w:styleId="FootnoteText" w:type="paragraph">
    <w:name w:val="footnote text"/>
    <w:basedOn w:val="Normal"/>
    <w:qFormat/>
    <w:pPr>
      <w:spacing w:after="40" w:line="260" w:lineRule="auto"/>
    </w:pPr>
    <w:rPr>
      <w:sz w:val="18"/>
      <w:szCs w:val="18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customStyle="1" w:styleId="DefinitionTerm" w:type="paragraph">
    <w:name w:val="Definition Term"/>
    <w:basedOn w:val="Normal"/>
    <w:next w:val="Definition"/>
    <w:qFormat/>
    <w:pPr>
      <w:keepNext/>
      <w:spacing w:after="0" w:before="80"/>
      <w:ind w:firstLine="0" w:firstLineChars="0"/>
    </w:pPr>
    <w:rPr>
      <w:rFonts w:ascii="Arial" w:cs="Arial" w:eastAsia="黑体" w:hAnsi="Arial" w:hint="eastAsia"/>
      <w:b/>
      <w:color w:val="1F4E79"/>
    </w:rPr>
  </w:style>
  <w:style w:customStyle="1" w:styleId="Definition" w:type="paragraph">
    <w:name w:val="Definition"/>
    <w:basedOn w:val="Normal"/>
    <w:qFormat/>
    <w:pPr>
      <w:spacing w:after="80" w:before="0"/>
      <w:ind w:firstLine="0" w:firstLineChars="0" w:left="420"/>
    </w:pPr>
  </w:style>
  <w:style w:styleId="Caption" w:type="paragraph">
    <w:name w:val="caption"/>
    <w:basedOn w:val="Normal"/>
    <w:next w:val="BodyText"/>
    <w:qFormat/>
    <w:pPr>
      <w:spacing w:after="200" w:before="60"/>
      <w:ind w:firstLine="0" w:firstLineChars="0"/>
      <w:jc w:val="center"/>
    </w:pPr>
    <w:rPr>
      <w:color w:val="6B7280"/>
      <w:sz w:val="19"/>
      <w:szCs w:val="19"/>
    </w:rPr>
  </w:style>
  <w:style w:customStyle="1" w:styleId="TableCaption" w:type="paragraph">
    <w:name w:val="Table Caption"/>
    <w:basedOn w:val="Caption"/>
    <w:qFormat/>
    <w:pPr>
      <w:keepNext/>
      <w:spacing w:after="80" w:before="200"/>
      <w:jc w:val="center"/>
    </w:pPr>
  </w:style>
  <w:style w:customStyle="1" w:styleId="ImageCaption" w:type="paragraph">
    <w:name w:val="Image Caption"/>
    <w:basedOn w:val="Caption"/>
    <w:qFormat/>
  </w:style>
  <w:style w:customStyle="1" w:styleId="Figure" w:type="paragraph">
    <w:name w:val="Figure"/>
    <w:basedOn w:val="Normal"/>
    <w:qFormat/>
    <w:pPr>
      <w:spacing w:after="60" w:before="120" w:line="240" w:lineRule="auto"/>
      <w:ind w:firstLine="0" w:firstLineChars="0"/>
      <w:jc w:val="center"/>
    </w:pPr>
  </w:style>
  <w:style w:customStyle="1" w:styleId="CaptionedFigure" w:type="paragraph">
    <w:name w:val="Captioned Figure"/>
    <w:basedOn w:val="Figure"/>
    <w:qFormat/>
    <w:pPr>
      <w:keepNext/>
    </w:pPr>
  </w:style>
  <w:style w:customStyle="1" w:styleId="BodyTextChar" w:type="character">
    <w:name w:val="Body Text Char"/>
    <w:rPr/>
  </w:style>
  <w:style w:customStyle="1" w:styleId="VerbatimChar" w:type="character">
    <w:name w:val="Verbatim Char"/>
    <w:rPr>
      <w:rFonts w:ascii="Consolas" w:cs="Consolas" w:eastAsia="黑体" w:hAnsi="Consolas" w:hint="eastAsia"/>
      <w:sz w:val="20"/>
      <w:shd w:color="auto" w:fill="F6F8FA" w:val="clear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rPr>
      <w:color w:val="2E75B6"/>
      <w:u w:val="single"/>
    </w:rPr>
  </w:style>
  <w:style w:styleId="TOCHeading" w:type="paragraph">
    <w:name w:val="TOC Heading"/>
    <w:basedOn w:val="Heading1"/>
    <w:next w:val="BodyText"/>
    <w:qFormat/>
    <w:pPr>
      <w:pBdr/>
      <w:jc w:val="center"/>
      <w:outlineLvl w:val="9"/>
    </w:pPr>
  </w:style>
  <w:style w:customStyle="1" w:styleId="DFTableText" w:type="paragraph">
    <w:name w:val="Table Text"/>
    <w:basedOn w:val="Compact"/>
    <w:qFormat/>
    <w:pPr>
      <w:spacing w:after="20" w:before="20" w:line="348" w:lineRule="atLeast"/>
    </w:pPr>
    <w:rPr>
      <w:sz w:val="20"/>
      <w:szCs w:val="20"/>
    </w:rPr>
  </w:style>
  <w:style w:customStyle="1" w:styleId="SourceCode" w:type="paragraph">
    <w:name w:val="Source Code"/>
    <w:basedOn w:val="Normal"/>
    <w:qFormat/>
    <w:pPr>
      <w:pBdr>
        <w:top w:color="C9D1DB" w:space="4" w:sz="4" w:val="single"/>
        <w:left w:color="C9D1DB" w:space="4" w:sz="4" w:val="single"/>
        <w:bottom w:color="C9D1DB" w:space="4" w:sz="4" w:val="single"/>
        <w:right w:color="C9D1DB" w:space="4" w:sz="4" w:val="single"/>
      </w:pBdr>
      <w:shd w:color="auto" w:fill="F6F8FA" w:val="clear"/>
      <w:wordWrap w:val="0"/>
      <w:spacing w:after="120" w:before="120" w:line="260" w:lineRule="auto"/>
      <w:jc w:val="left"/>
    </w:pPr>
    <w:rPr>
      <w:rFonts w:ascii="Consolas" w:cs="Consolas" w:eastAsia="黑体" w:hAnsi="Consolas" w:hint="eastAsia"/>
      <w:sz w:val="19"/>
    </w:rPr>
  </w:style>
  <w:style w:customStyle="1" w:styleId="DFEquation" w:type="paragraph">
    <w:name w:val="DF Equation"/>
    <w:basedOn w:val="Normal"/>
    <w:qFormat/>
    <w:pPr>
      <w:keepLines/>
      <w:tabs>
        <w:tab w:pos="4535" w:val="center"/>
        <w:tab w:pos="9071" w:val="right"/>
      </w:tabs>
      <w:spacing w:after="120" w:before="120" w:line="240" w:lineRule="auto"/>
      <w:ind w:firstLine="0" w:firstLineChars="0"/>
      <w:jc w:val="left"/>
    </w:pPr>
  </w:style>
  <w:style w:styleId="TOC1" w:type="paragraph">
    <w:name w:val="toc 1"/>
    <w:basedOn w:val="Normal"/>
    <w:next w:val="BodyText"/>
    <w:qFormat/>
    <w:pPr>
      <w:spacing w:after="40" w:before="40"/>
      <w:ind w:left="0"/>
    </w:pPr>
    <w:rPr>
      <w:b/>
    </w:rPr>
  </w:style>
  <w:style w:styleId="TOC2" w:type="paragraph">
    <w:name w:val="toc 2"/>
    <w:basedOn w:val="Normal"/>
    <w:next w:val="BodyText"/>
    <w:qFormat/>
    <w:pPr>
      <w:spacing w:after="40" w:before="40"/>
      <w:ind w:left="420"/>
    </w:pPr>
  </w:style>
  <w:style w:styleId="TOC3" w:type="paragraph">
    <w:name w:val="toc 3"/>
    <w:basedOn w:val="Normal"/>
    <w:next w:val="BodyText"/>
    <w:qFormat/>
    <w:pPr>
      <w:spacing w:after="40" w:before="40"/>
      <w:ind w:left="840"/>
    </w:pPr>
  </w:style>
  <w:style w:type="paragraph" w:customStyle="1" w:styleId="DFPara1">
    <w:name w:val="DF Para 1"/>
    <w:basedOn w:val="BodyText"/>
    <w:qFormat/>
    <w:pPr>
      <w:pBdr>
        <w:left w:val="single" w:sz="24" w:space="10" w:color="6A1B9A"/>
      </w:pBdr>
      <w:shd w:val="clear" w:color="auto" w:fill="F5EFF8"/>
      <w:spacing w:before="0" w:after="0" w:line="348" w:lineRule="auto"/>
      <w:ind w:left="240" w:right="120" w:firstLine="0" w:firstLineChars="0"/>
    </w:pPr>
  </w:style>
  <w:style w:type="paragraph" w:customStyle="1" w:styleId="DFPara2">
    <w:name w:val="DF Para 2"/>
    <w:basedOn w:val="BodyText"/>
    <w:qFormat/>
    <w:pPr>
      <w:keepNext/>
      <w:pBdr>
        <w:left w:val="single" w:sz="24" w:space="10" w:color="6A1B9A"/>
      </w:pBdr>
      <w:shd w:val="clear" w:color="auto" w:fill="F5EFF8"/>
      <w:spacing w:before="160" w:after="0"/>
      <w:ind w:left="240" w:right="120" w:firstLine="0" w:firstLineChars="0"/>
      <w:jc w:val="left"/>
    </w:pPr>
    <w:rPr>
      <w:rFonts w:ascii="Arial" w:hAnsi="Arial" w:eastAsia="黑体" w:cs="Arial" w:hint="eastAsia"/>
      <w:b/>
      <w:color w:val="6A1B9A"/>
    </w:rPr>
  </w:style>
  <w:style w:type="paragraph" w:customStyle="1" w:styleId="DFPara3">
    <w:name w:val="DF Para 3"/>
    <w:basedOn w:val="BodyText"/>
    <w:qFormat/>
    <w:pPr>
      <w:pBdr>
        <w:left w:val="single" w:sz="24" w:space="10" w:color="2E7D32"/>
      </w:pBdr>
      <w:shd w:val="clear" w:color="auto" w:fill="F0F6F1"/>
      <w:spacing w:before="0" w:after="0" w:line="348" w:lineRule="auto"/>
      <w:ind w:left="240" w:right="120" w:firstLine="0" w:firstLineChars="0"/>
    </w:pPr>
  </w:style>
  <w:style w:type="paragraph" w:customStyle="1" w:styleId="DFPara4">
    <w:name w:val="DF Para 4"/>
    <w:basedOn w:val="BodyText"/>
    <w:qFormat/>
    <w:pPr>
      <w:keepNext/>
      <w:pBdr>
        <w:left w:val="single" w:sz="24" w:space="10" w:color="2E7D32"/>
      </w:pBdr>
      <w:shd w:val="clear" w:color="auto" w:fill="F0F6F1"/>
      <w:spacing w:before="160" w:after="0"/>
      <w:ind w:left="240" w:right="120" w:firstLine="0" w:firstLineChars="0"/>
      <w:jc w:val="left"/>
    </w:pPr>
    <w:rPr>
      <w:rFonts w:ascii="Arial" w:hAnsi="Arial" w:eastAsia="黑体" w:cs="Arial" w:hint="eastAsia"/>
      <w:b/>
      <w:color w:val="2E7D32"/>
    </w:rPr>
  </w:style>
  <w:style w:type="character" w:customStyle="1" w:styleId="DFChar10">
    <w:name w:val="DF Char 10"/>
    <w:rPr>
      <w:b/>
      <w:bCs/>
      <w:color w:val="C0392B"/>
      <w:shd w:val="clear" w:color="auto" w:fill="FADBD8"/>
    </w:rPr>
  </w:style>
  <w:style w:type="character" w:customStyle="1" w:styleId="DFChar11">
    <w:name w:val="DF Char 11"/>
    <w:rPr>
      <w:b/>
      <w:bCs/>
      <w:color w:val="B9770E"/>
      <w:shd w:val="clear" w:color="auto" w:fill="FDEBD0"/>
    </w:rPr>
  </w:style>
  <w:style w:type="character" w:customStyle="1" w:styleId="DFChar12">
    <w:name w:val="DF Char 12"/>
    <w:rPr>
      <w:b/>
      <w:bCs/>
      <w:color w:val="1E8449"/>
      <w:shd w:val="clear" w:color="auto" w:fill="D5F5E3"/>
    </w:rPr>
  </w:style>
  <w:style w:type="character" w:customStyle="1" w:styleId="DFChar5">
    <w:name w:val="DF Char 5"/>
    <w:rPr>
      <w:b/>
      <w:bCs/>
      <w:color w:val="2E7D32"/>
    </w:rPr>
  </w:style>
  <w:style w:type="character" w:customStyle="1" w:styleId="DFChar6">
    <w:name w:val="DF Char 6"/>
    <w:rPr>
      <w:b/>
      <w:bCs/>
      <w:color w:val="1F4E79"/>
    </w:rPr>
  </w:style>
  <w:style w:type="character" w:customStyle="1" w:styleId="DFChar7">
    <w:name w:val="DF Char 7"/>
    <w:rPr>
      <w:color w:val="2E7D32"/>
    </w:rPr>
  </w:style>
  <w:style w:type="character" w:customStyle="1" w:styleId="DFChar8">
    <w:name w:val="DF Char 8"/>
    <w:rPr>
      <w:color w:val="C0392B"/>
    </w:rPr>
  </w:style>
  <w:style w:type="character" w:customStyle="1" w:styleId="DFChar9">
    <w:name w:val="DF Char 9"/>
    <w:rPr>
      <w:color w:val="E67E22"/>
    </w:rPr>
  </w:style>
  <w:style w:type="character" w:customStyle="1" w:styleId="KeywordTok">
    <w:name w:val="KeywordTok"/>
    <w:basedOn w:val="VerbatimChar"/>
    <w:rPr>
      <w:b/>
      <w:color w:val="204a87"/>
      <w:shd w:val="clear" w:fill="f8f8f8"/>
    </w:rPr>
  </w:style>
  <w:style w:type="character" w:customStyle="1" w:styleId="DataTypeTok">
    <w:name w:val="DataTypeTok"/>
    <w:basedOn w:val="VerbatimChar"/>
    <w:rPr>
      <w:color w:val="204a87"/>
      <w:shd w:val="clear" w:fill="f8f8f8"/>
    </w:rPr>
  </w:style>
  <w:style w:type="character" w:customStyle="1" w:styleId="DecValTok">
    <w:name w:val="DecValTok"/>
    <w:basedOn w:val="VerbatimChar"/>
    <w:rPr>
      <w:color w:val="0000cf"/>
      <w:shd w:val="clear" w:fill="f8f8f8"/>
    </w:rPr>
  </w:style>
  <w:style w:type="character" w:customStyle="1" w:styleId="BaseNTok">
    <w:name w:val="BaseNTok"/>
    <w:basedOn w:val="VerbatimChar"/>
    <w:rPr>
      <w:color w:val="0000cf"/>
      <w:shd w:val="clear" w:fill="f8f8f8"/>
    </w:rPr>
  </w:style>
  <w:style w:type="character" w:customStyle="1" w:styleId="FloatTok">
    <w:name w:val="FloatTok"/>
    <w:basedOn w:val="VerbatimChar"/>
    <w:rPr>
      <w:color w:val="0000cf"/>
      <w:shd w:val="clear" w:fill="f8f8f8"/>
    </w:rPr>
  </w:style>
  <w:style w:type="character" w:customStyle="1" w:styleId="ConstantTok">
    <w:name w:val="ConstantTok"/>
    <w:basedOn w:val="VerbatimChar"/>
    <w:rPr>
      <w:color w:val="8f5902"/>
      <w:shd w:val="clear" w:fill="f8f8f8"/>
    </w:rPr>
  </w:style>
  <w:style w:type="character" w:customStyle="1" w:styleId="CharTok">
    <w:name w:val="CharTok"/>
    <w:basedOn w:val="VerbatimChar"/>
    <w:rPr>
      <w:color w:val="4e9a06"/>
      <w:shd w:val="clear" w:fill="f8f8f8"/>
    </w:rPr>
  </w:style>
  <w:style w:type="character" w:customStyle="1" w:styleId="SpecialCharTok">
    <w:name w:val="SpecialCharTok"/>
    <w:basedOn w:val="VerbatimChar"/>
    <w:rPr>
      <w:b/>
      <w:color w:val="ce5c00"/>
      <w:shd w:val="clear" w:fill="f8f8f8"/>
    </w:rPr>
  </w:style>
  <w:style w:type="character" w:customStyle="1" w:styleId="StringTok">
    <w:name w:val="StringTok"/>
    <w:basedOn w:val="VerbatimChar"/>
    <w:rPr>
      <w:color w:val="4e9a06"/>
      <w:shd w:val="clear" w:fill="f8f8f8"/>
    </w:rPr>
  </w:style>
  <w:style w:type="character" w:customStyle="1" w:styleId="VerbatimStringTok">
    <w:name w:val="VerbatimStringTok"/>
    <w:basedOn w:val="VerbatimChar"/>
    <w:rPr>
      <w:color w:val="4e9a06"/>
      <w:shd w:val="clear" w:fill="f8f8f8"/>
    </w:rPr>
  </w:style>
  <w:style w:type="character" w:customStyle="1" w:styleId="SpecialStringTok">
    <w:name w:val="SpecialStringTok"/>
    <w:basedOn w:val="VerbatimChar"/>
    <w:rPr>
      <w:color w:val="4e9a06"/>
      <w:shd w:val="clear" w:fill="f8f8f8"/>
    </w:rPr>
  </w:style>
  <w:style w:type="character" w:customStyle="1" w:styleId="ImportTok">
    <w:name w:val="ImportTok"/>
    <w:basedOn w:val="VerbatimChar"/>
    <w:rPr>
      <w:shd w:val="clear" w:fill="f8f8f8"/>
    </w:rPr>
  </w:style>
  <w:style w:type="character" w:customStyle="1" w:styleId="CommentTok">
    <w:name w:val="CommentTok"/>
    <w:basedOn w:val="VerbatimChar"/>
    <w:rPr>
      <w:i/>
      <w:color w:val="8f5902"/>
      <w:shd w:val="clear" w:fill="f8f8f8"/>
    </w:rPr>
  </w:style>
  <w:style w:type="character" w:customStyle="1" w:styleId="DocumentationTok">
    <w:name w:val="DocumentationTok"/>
    <w:basedOn w:val="VerbatimChar"/>
    <w:rPr>
      <w:b/>
      <w:i/>
      <w:color w:val="8f5902"/>
      <w:shd w:val="clear" w:fill="f8f8f8"/>
    </w:rPr>
  </w:style>
  <w:style w:type="character" w:customStyle="1" w:styleId="AnnotationTok">
    <w:name w:val="AnnotationTok"/>
    <w:basedOn w:val="VerbatimChar"/>
    <w:rPr>
      <w:b/>
      <w:i/>
      <w:color w:val="8f5902"/>
      <w:shd w:val="clear" w:fill="f8f8f8"/>
    </w:rPr>
  </w:style>
  <w:style w:type="character" w:customStyle="1" w:styleId="CommentVarTok">
    <w:name w:val="CommentVarTok"/>
    <w:basedOn w:val="VerbatimChar"/>
    <w:rPr>
      <w:b/>
      <w:i/>
      <w:color w:val="8f5902"/>
      <w:shd w:val="clear" w:fill="f8f8f8"/>
    </w:rPr>
  </w:style>
  <w:style w:type="character" w:customStyle="1" w:styleId="OtherTok">
    <w:name w:val="OtherTok"/>
    <w:basedOn w:val="VerbatimChar"/>
    <w:rPr>
      <w:color w:val="8f5902"/>
      <w:shd w:val="clear" w:fill="f8f8f8"/>
    </w:rPr>
  </w:style>
  <w:style w:type="character" w:customStyle="1" w:styleId="FunctionTok">
    <w:name w:val="FunctionTok"/>
    <w:basedOn w:val="VerbatimChar"/>
    <w:rPr>
      <w:b/>
      <w:color w:val="204a87"/>
      <w:shd w:val="clear" w:fill="f8f8f8"/>
    </w:rPr>
  </w:style>
  <w:style w:type="character" w:customStyle="1" w:styleId="VariableTok">
    <w:name w:val="VariableTok"/>
    <w:basedOn w:val="VerbatimChar"/>
    <w:rPr>
      <w:color w:val="000000"/>
      <w:shd w:val="clear" w:fill="f8f8f8"/>
    </w:rPr>
  </w:style>
  <w:style w:type="character" w:customStyle="1" w:styleId="ControlFlowTok">
    <w:name w:val="ControlFlowTok"/>
    <w:basedOn w:val="VerbatimChar"/>
    <w:rPr>
      <w:b/>
      <w:color w:val="204a87"/>
      <w:shd w:val="clear" w:fill="f8f8f8"/>
    </w:rPr>
  </w:style>
  <w:style w:type="character" w:customStyle="1" w:styleId="OperatorTok">
    <w:name w:val="OperatorTok"/>
    <w:basedOn w:val="VerbatimChar"/>
    <w:rPr>
      <w:b/>
      <w:color w:val="ce5c00"/>
      <w:shd w:val="clear" w:fill="f8f8f8"/>
    </w:rPr>
  </w:style>
  <w:style w:type="character" w:customStyle="1" w:styleId="BuiltInTok">
    <w:name w:val="BuiltInTok"/>
    <w:basedOn w:val="VerbatimChar"/>
    <w:rPr>
      <w:shd w:val="clear" w:fill="f8f8f8"/>
    </w:rPr>
  </w:style>
  <w:style w:type="character" w:customStyle="1" w:styleId="ExtensionTok">
    <w:name w:val="ExtensionTok"/>
    <w:basedOn w:val="VerbatimChar"/>
    <w:rPr>
      <w:shd w:val="clear" w:fill="f8f8f8"/>
    </w:rPr>
  </w:style>
  <w:style w:type="character" w:customStyle="1" w:styleId="PreprocessorTok">
    <w:name w:val="PreprocessorTok"/>
    <w:basedOn w:val="VerbatimChar"/>
    <w:rPr>
      <w:i/>
      <w:color w:val="8f5902"/>
      <w:shd w:val="clear" w:fill="f8f8f8"/>
    </w:rPr>
  </w:style>
  <w:style w:type="character" w:customStyle="1" w:styleId="AttributeTok">
    <w:name w:val="AttributeTok"/>
    <w:basedOn w:val="VerbatimChar"/>
    <w:rPr>
      <w:color w:val="204a87"/>
      <w:shd w:val="clear" w:fill="f8f8f8"/>
    </w:rPr>
  </w:style>
  <w:style w:type="character" w:customStyle="1" w:styleId="RegionMarkerTok">
    <w:name w:val="RegionMarkerTok"/>
    <w:basedOn w:val="VerbatimChar"/>
    <w:rPr>
      <w:shd w:val="clear" w:fill="f8f8f8"/>
    </w:rPr>
  </w:style>
  <w:style w:type="character" w:customStyle="1" w:styleId="InformationTok">
    <w:name w:val="InformationTok"/>
    <w:basedOn w:val="VerbatimChar"/>
    <w:rPr>
      <w:b/>
      <w:i/>
      <w:color w:val="8f5902"/>
      <w:shd w:val="clear" w:fill="f8f8f8"/>
    </w:rPr>
  </w:style>
  <w:style w:type="character" w:customStyle="1" w:styleId="WarningTok">
    <w:name w:val="WarningTok"/>
    <w:basedOn w:val="VerbatimChar"/>
    <w:rPr>
      <w:b/>
      <w:i/>
      <w:color w:val="8f5902"/>
      <w:shd w:val="clear" w:fill="f8f8f8"/>
    </w:rPr>
  </w:style>
  <w:style w:type="character" w:customStyle="1" w:styleId="AlertTok">
    <w:name w:val="AlertTok"/>
    <w:basedOn w:val="VerbatimChar"/>
    <w:rPr>
      <w:color w:val="ef2929"/>
      <w:shd w:val="clear" w:fill="f8f8f8"/>
    </w:rPr>
  </w:style>
  <w:style w:type="character" w:customStyle="1" w:styleId="ErrorTok">
    <w:name w:val="ErrorTok"/>
    <w:basedOn w:val="VerbatimChar"/>
    <w:rPr>
      <w:b/>
      <w:color w:val="a40000"/>
      <w:shd w:val="clear" w:fill="f8f8f8"/>
    </w:rPr>
  </w:style>
  <w:style w:type="character" w:customStyle="1" w:styleId="NormalTok">
    <w:name w:val="NormalTok"/>
    <w:basedOn w:val="VerbatimChar"/>
    <w:rPr>
      <w:shd w:val="clear" w:fill="f8f8f8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DfFooter1" Target="footer1.xml" Type="http://schemas.openxmlformats.org/officeDocument/2006/relationships/footer" /><Relationship Type="http://schemas.openxmlformats.org/officeDocument/2006/relationships/image" Id="rId10" Target="media/rId10.png" /><Relationship Type="http://schemas.openxmlformats.org/officeDocument/2006/relationships/header" Id="rIdDfHeader1" Target="header1.xml"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rial" panose="02110004020202020204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Times New Roman" panose="02110004020202020204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 年第三季度经营分析报告</dc:title>
  <dc:creator>经营管理部　财务部</dc:creator>
  <dc:language>zh-CN</dc:language>
  <cp:keywords/>
  <dcterms:created xsi:type="dcterms:W3CDTF">2026-11-02T05:42:01Z</dcterms:created>
  <dcterms:modified xsi:type="dcterms:W3CDTF">2026-11-02T05:42:01Z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bstract-title">
    <vt:lpwstr>摘要</vt:lpwstr>
  </property>
  <property fmtid="{D5CDD505-2E9C-101B-9397-08002B2CF9AE}" pid="3" name="date">
    <vt:lpwstr>2026-10-15</vt:lpwstr>
  </property>
  <property fmtid="{D5CDD505-2E9C-101B-9397-08002B2CF9AE}" pid="4" name="number-sections">
    <vt:lpwstr>True</vt:lpwstr>
  </property>
  <property fmtid="{D5CDD505-2E9C-101B-9397-08002B2CF9AE}" pid="5" name="subtitle">
    <vt:lpwstr>星河科技集团 · 董事会季度汇报材料</vt:lpwstr>
  </property>
</Properties>
</file>