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1.png" ContentType="image/png"/>
  <Override PartName="/word/media/rId24.png" ContentType="image/png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  <w:lang w:val="zh-CN"/>
        </w:rPr>
        <w:t xml:space="preserve">基于注意力机制的物理信息神经网络求解非定常</w:t>
      </w:r>
      <w:r>
        <w:rPr>
          <w:lang w:val="zh-CN"/>
        </w:rPr>
        <w:t xml:space="preserve"> Navier–Stokes </w:t>
      </w:r>
      <w:r>
        <w:rPr>
          <w:rFonts w:hint="eastAsia"/>
          <w:lang w:val="zh-CN"/>
        </w:rPr>
        <w:t xml:space="preserve">方程</w:t>
      </w:r>
    </w:p>
    <w:p>
      <w:pPr>
        <w:pStyle w:val="Author"/>
      </w:pPr>
      <w:r>
        <w:rPr>
          <w:rFonts w:hint="eastAsia"/>
          <w:lang w:val="zh-CN"/>
        </w:rPr>
        <w:t xml:space="preserve">王明</w:t>
      </w:r>
      <w:r>
        <w:rPr>
          <w:vertAlign w:val="superscript"/>
          <w:lang w:val="zh-CN"/>
        </w:rPr>
        <w:t xml:space="preserve">1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李华</w:t>
      </w:r>
      <w:r>
        <w:rPr>
          <w:vertAlign w:val="superscript"/>
          <w:lang w:val="zh-CN"/>
        </w:rPr>
        <w:t xml:space="preserve">1,2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陈思远</w:t>
      </w:r>
      <w:r>
        <w:rPr>
          <w:vertAlign w:val="superscript"/>
          <w:lang w:val="zh-CN"/>
        </w:rPr>
        <w:t xml:space="preserve">2</w:t>
      </w:r>
    </w:p>
    <w:p>
      <w:pPr>
        <w:pStyle w:val="Date"/>
      </w:pPr>
      <w:r>
        <w:rPr>
          <w:lang w:val="zh-CN"/>
        </w:rPr>
        <w:t xml:space="preserve">2026 </w:t>
      </w:r>
      <w:r>
        <w:rPr>
          <w:rFonts w:hint="eastAsia"/>
          <w:lang w:val="zh-CN"/>
        </w:rPr>
        <w:t xml:space="preserve">年</w:t>
      </w:r>
      <w:r>
        <w:rPr>
          <w:lang w:val="zh-CN"/>
        </w:rPr>
        <w:t xml:space="preserve"> 9 </w:t>
      </w:r>
      <w:r>
        <w:rPr>
          <w:rFonts w:hint="eastAsia"/>
          <w:lang w:val="zh-CN"/>
        </w:rPr>
        <w:t xml:space="preserve">月</w:t>
      </w:r>
    </w:p>
    <w:p>
      <w:pPr>
        <w:pStyle w:val="AbstractTitle"/>
      </w:pPr>
      <w:r>
        <w:t xml:space="preserve">摘要</w:t>
      </w:r>
    </w:p>
    <w:p>
      <w:pPr>
        <w:pStyle w:val="Abstract"/>
      </w:pPr>
      <w:r>
        <w:rPr>
          <w:rFonts w:hint="eastAsia"/>
          <w:lang w:val="zh-CN"/>
        </w:rPr>
        <w:t xml:space="preserve">物理信息神经网络（PINN）在高雷诺数非定常流动中常因各损失项梯度失衡而难以收敛。本文提出一种以注意力机制自适应分配残差权重的</w:t>
      </w:r>
      <w:r>
        <w:rPr>
          <w:lang w:val="zh-CN"/>
        </w:rPr>
        <w:t xml:space="preserve"> PINN </w:t>
      </w:r>
      <w:r>
        <w:rPr>
          <w:rFonts w:hint="eastAsia"/>
          <w:lang w:val="zh-CN"/>
        </w:rPr>
        <w:t xml:space="preserve">框架（Attn-PINN），并证明了其逼近误差的上界。在圆柱绕流（</w:t>
      </w:r>
      <m:oMath>
        <m:r>
          <m:rPr>
            <m:sty m:val="p"/>
          </m:rPr>
          <m:t>R</m:t>
        </m:r>
        <m:r>
          <m:rPr>
            <m:sty m:val="p"/>
          </m:rPr>
          <m:t>e</m:t>
        </m:r>
        <m:r>
          <m:rPr>
            <m:sty m:val="p"/>
          </m:rPr>
          <m:t>=</m:t>
        </m:r>
        <m:r>
          <m:t>3</m:t>
        </m:r>
        <m:r>
          <m:t> </m:t>
        </m:r>
        <m:r>
          <m:t>900</m:t>
        </m:r>
      </m:oMath>
      <w:r>
        <w:rPr>
          <w:rFonts w:hint="eastAsia"/>
          <w:lang w:val="zh-CN"/>
        </w:rPr>
        <w:t xml:space="preserve">）算例中，Attn-PINN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的相对</w:t>
      </w:r>
      <w:r>
        <w:rPr>
          <w:lang w:val="zh-CN"/>
        </w:rPr>
        <w:t xml:space="preserve"> </w:t>
      </w:r>
      <m:oMath>
        <m:sSup>
          <m:e>
            <m:r>
              <m:t>L</m:t>
            </m:r>
          </m:e>
          <m:sup>
            <m:r>
              <m:t>2</m:t>
            </m:r>
          </m:sup>
        </m:sSup>
      </m:oMath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误差降至</w:t>
      </w:r>
      <w:r>
        <w:rPr>
          <w:lang w:val="zh-CN"/>
        </w:rPr>
        <w:t xml:space="preserve"> </w:t>
      </w:r>
      <m:oMath>
        <m:r>
          <m:t>1.7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rPr>
          <w:rFonts w:hint="eastAsia"/>
          <w:lang w:val="zh-CN"/>
        </w:rPr>
        <w:t xml:space="preserve">，较基线降低</w:t>
      </w:r>
      <w:r>
        <w:rPr>
          <w:lang w:val="zh-CN"/>
        </w:rPr>
        <w:t xml:space="preserve"> </w:t>
      </w:r>
      <w:r>
        <w:rPr>
          <w:rFonts w:hint="eastAsia"/>
          <w:b/>
          <w:bCs/>
          <w:lang w:val="zh-CN"/>
        </w:rPr>
        <w:t xml:space="preserve">一个数量级</w:t>
      </w:r>
      <w:r>
        <w:rPr>
          <w:rFonts w:hint="eastAsia"/>
          <w:lang w:val="zh-CN"/>
        </w:rPr>
        <w:t xml:space="preserve">，训练时间缩短</w:t>
      </w:r>
      <w:r>
        <w:rPr>
          <w:lang w:val="zh-CN"/>
        </w:rPr>
        <w:t xml:space="preserve"> 41%。</w:t>
      </w:r>
    </w:p>
    <w:p>
      <w:pPr>
        <w:pStyle w:val="Heading1"/>
      </w:pPr>
      <w:bookmarkStart w:id="9" w:name="df_ceeeed3cf2"/>
      <w:r>
        <w:rPr>
          <w:rStyle w:val="SectionNumber"/>
          <w:lang w:val="zh-CN"/>
        </w:rPr>
        <w:t xml:space="preserve">1</w:t>
      </w:r>
      <w:r>
        <w:tab/>
      </w:r>
      <w:r>
        <w:rPr>
          <w:rFonts w:hint="eastAsia"/>
          <w:lang w:val="zh-CN"/>
        </w:rPr>
        <w:t xml:space="preserve">引言</w:t>
      </w:r>
      <w:bookmarkEnd w:id="9"/>
    </w:p>
    <w:p>
      <w:pPr>
        <w:pStyle w:val="FirstParagraph"/>
      </w:pPr>
      <w:r>
        <w:rPr>
          <w:lang w:val="zh-CN"/>
        </w:rPr>
        <w:t xml:space="preserve">PINN </w:t>
      </w:r>
      <w:r>
        <w:rPr>
          <w:rFonts w:hint="eastAsia"/>
          <w:lang w:val="zh-CN"/>
        </w:rPr>
        <w:t xml:space="preserve">将偏微分方程的残差嵌入神经网络的损失函数</w:t>
      </w:r>
      <w:r>
        <w:rPr>
          <w:vertAlign w:val="superscript"/>
          <w:lang w:val="zh-CN"/>
        </w:rPr>
        <w:t xml:space="preserve">[</w:t>
      </w:r>
      <w:hyperlink w:anchor="ref_raissi2019">
        <w:r>
          <w:rPr>
            <w:rStyle w:val="Hyperlink"/>
            <w:vertAlign w:val="superscript"/>
            <w:lang w:val="zh-CN"/>
          </w:rPr>
          <w:t xml:space="preserve">1</w:t>
        </w:r>
      </w:hyperlink>
      <w:r>
        <w:rPr>
          <w:vertAlign w:val="superscript"/>
          <w:lang w:val="zh-CN"/>
        </w:rPr>
        <w:t xml:space="preserve">]</w:t>
      </w:r>
      <w:r>
        <w:rPr>
          <w:rFonts w:hint="eastAsia"/>
          <w:lang w:val="zh-CN"/>
        </w:rPr>
        <w:t xml:space="preserve">，无需网格即可同时求解正问题与反问题，已成为科学机器学习的核心方法之一</w:t>
      </w:r>
      <w:r>
        <w:rPr>
          <w:vertAlign w:val="superscript"/>
          <w:lang w:val="zh-CN"/>
        </w:rPr>
        <w:t xml:space="preserve">[</w:t>
      </w:r>
      <w:hyperlink w:anchor="ref_karniadakis2021">
        <w:r>
          <w:rPr>
            <w:rStyle w:val="Hyperlink"/>
            <w:vertAlign w:val="superscript"/>
            <w:lang w:val="zh-CN"/>
          </w:rPr>
          <w:t xml:space="preserve">2</w:t>
        </w:r>
      </w:hyperlink>
      <w:r>
        <w:rPr>
          <w:vertAlign w:val="superscript"/>
          <w:lang w:val="zh-CN"/>
        </w:rPr>
        <w:t xml:space="preserve">]</w:t>
      </w:r>
      <w:r>
        <w:rPr>
          <w:rFonts w:hint="eastAsia"/>
          <w:lang w:val="zh-CN"/>
        </w:rPr>
        <w:t xml:space="preserve">。然而，对于强非线性的</w:t>
      </w:r>
      <w:r>
        <w:rPr>
          <w:lang w:val="zh-CN"/>
        </w:rPr>
        <w:t xml:space="preserve"> Navier–Stokes </w:t>
      </w:r>
      <w:r>
        <w:rPr>
          <w:rFonts w:hint="eastAsia"/>
          <w:lang w:val="zh-CN"/>
        </w:rPr>
        <w:t xml:space="preserve">方程，各损失项的梯度量级相差可达</w:t>
      </w:r>
      <w:r>
        <w:rPr>
          <w:lang w:val="zh-CN"/>
        </w:rPr>
        <w:t xml:space="preserve"> </w:t>
      </w:r>
      <m:oMath>
        <m:sSup>
          <m:e>
            <m:r>
              <m:t>10</m:t>
            </m:r>
          </m:e>
          <m:sup>
            <m:r>
              <m:t>3</m:t>
            </m:r>
          </m:sup>
        </m:sSup>
      </m:oMath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以上，导致训练陷入“梯度病态”</w:t>
      </w:r>
      <w:r>
        <w:rPr>
          <w:vertAlign w:val="superscript"/>
          <w:lang w:val="zh-CN"/>
        </w:rPr>
        <w:t xml:space="preserve">[</w:t>
      </w:r>
      <w:hyperlink w:anchor="ref_wang2021">
        <w:r>
          <w:rPr>
            <w:rStyle w:val="Hyperlink"/>
            <w:vertAlign w:val="superscript"/>
            <w:lang w:val="zh-CN"/>
          </w:rPr>
          <w:t xml:space="preserve">3</w:t>
        </w:r>
      </w:hyperlink>
      <w:r>
        <w:rPr>
          <w:vertAlign w:val="superscript"/>
          <w:lang w:val="zh-CN"/>
        </w:rPr>
        <w:t xml:space="preserve">]</w:t>
      </w:r>
      <w:r>
        <w:rPr>
          <w:rFonts w:hint="eastAsia"/>
          <w:lang w:val="zh-CN"/>
        </w:rPr>
        <w:t xml:space="preserve">。神经算子</w:t>
      </w:r>
      <w:r>
        <w:rPr>
          <w:vertAlign w:val="superscript"/>
          <w:lang w:val="zh-CN"/>
        </w:rPr>
        <w:t xml:space="preserve">[</w:t>
      </w:r>
      <w:hyperlink w:anchor="ref_li2021">
        <w:r>
          <w:rPr>
            <w:rStyle w:val="Hyperlink"/>
            <w:vertAlign w:val="superscript"/>
            <w:lang w:val="zh-CN"/>
          </w:rPr>
          <w:t xml:space="preserve">4</w:t>
        </w:r>
      </w:hyperlink>
      <w:r>
        <w:rPr>
          <w:vertAlign w:val="superscript"/>
          <w:lang w:val="zh-CN"/>
        </w:rPr>
        <w:t xml:space="preserve">]</w:t>
      </w:r>
      <w:r>
        <w:rPr>
          <w:rFonts w:hint="eastAsia"/>
          <w:lang w:val="zh-CN"/>
        </w:rPr>
        <w:t xml:space="preserve">虽能缓解该问题，却依赖大量标注数据。本文借鉴</w:t>
      </w:r>
      <w:r>
        <w:rPr>
          <w:lang w:val="zh-CN"/>
        </w:rPr>
        <w:t xml:space="preserve"> Transformer </w:t>
      </w:r>
      <w:r>
        <w:rPr>
          <w:rFonts w:hint="eastAsia"/>
          <w:lang w:val="zh-CN"/>
        </w:rPr>
        <w:t xml:space="preserve">的注意力机制</w:t>
      </w:r>
      <w:r>
        <w:rPr>
          <w:vertAlign w:val="superscript"/>
          <w:lang w:val="zh-CN"/>
        </w:rPr>
        <w:t xml:space="preserve">[</w:t>
      </w:r>
      <w:hyperlink w:anchor="ref_vaswani2017">
        <w:r>
          <w:rPr>
            <w:rStyle w:val="Hyperlink"/>
            <w:vertAlign w:val="superscript"/>
            <w:lang w:val="zh-CN"/>
          </w:rPr>
          <w:t xml:space="preserve">5</w:t>
        </w:r>
      </w:hyperlink>
      <w:r>
        <w:rPr>
          <w:vertAlign w:val="superscript"/>
          <w:lang w:val="zh-CN"/>
        </w:rPr>
        <w:t xml:space="preserve">]</w:t>
      </w:r>
      <w:r>
        <w:rPr>
          <w:rFonts w:hint="eastAsia"/>
          <w:lang w:val="zh-CN"/>
        </w:rPr>
        <w:t xml:space="preserve">，让网络在训练中</w:t>
      </w:r>
      <w:r>
        <w:rPr>
          <w:rFonts w:hint="eastAsia"/>
          <w:b/>
          <w:bCs/>
          <w:lang w:val="zh-CN"/>
        </w:rPr>
        <w:t xml:space="preserve">自行学习</w:t>
      </w:r>
      <w:r>
        <w:rPr>
          <w:rFonts w:hint="eastAsia"/>
          <w:lang w:val="zh-CN"/>
        </w:rPr>
        <w:t xml:space="preserve">每个配点的权重。</w:t>
      </w:r>
    </w:p>
    <w:p>
      <w:pPr>
        <w:pStyle w:val="Heading1"/>
      </w:pPr>
      <w:bookmarkStart w:id="11" w:name="sec_problem"/>
      <w:r>
        <w:rPr>
          <w:rStyle w:val="SectionNumber"/>
          <w:lang w:val="zh-CN"/>
        </w:rPr>
        <w:t xml:space="preserve">2</w:t>
      </w:r>
      <w:r>
        <w:tab/>
      </w:r>
      <w:r>
        <w:rPr>
          <w:rFonts w:hint="eastAsia"/>
          <w:lang w:val="zh-CN"/>
        </w:rPr>
        <w:t xml:space="preserve">问题描述</w:t>
      </w:r>
      <w:bookmarkEnd w:id="11"/>
    </w:p>
    <w:p>
      <w:pPr>
        <w:pStyle w:val="FirstParagraph"/>
      </w:pPr>
      <w:r>
        <w:rPr>
          <w:rFonts w:hint="eastAsia"/>
          <w:lang w:val="zh-CN"/>
        </w:rPr>
        <w:t xml:space="preserve">考虑区域</w:t>
      </w:r>
      <w:r>
        <w:rPr>
          <w:lang w:val="zh-CN"/>
        </w:rP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⊂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上的不可压缩粘性流动，速度</w:t>
      </w:r>
      <w:r>
        <w:rPr>
          <w:lang w:val="zh-CN"/>
        </w:rPr>
        <w:t xml:space="preserve"> </w:t>
      </w:r>
      <m:oMath>
        <m:r>
          <m:rPr>
            <m:sty m:val="bi"/>
          </m:rPr>
          <m:t>u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,</m:t>
        </m:r>
        <m:r>
          <m:t>v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与压力</w:t>
      </w:r>
      <w:r>
        <w:rPr>
          <w:lang w:val="zh-CN"/>
        </w:rPr>
        <w:t xml:space="preserve"> </w:t>
      </w:r>
      <m:oMath>
        <m:r>
          <m:t>p</m:t>
        </m:r>
      </m:oMath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满足</w:t>
      </w:r>
    </w:p>
    <w:p>
      <w:pPr>
        <w:pStyle w:val="DFEquation"/>
      </w:pPr>
      <w:r>
        <w:tab/>
      </w:r>
      <m:oMath>
        <m:d>
          <m:dPr>
            <m:begChr m:val="{"/>
            <m:sepChr m:val=""/>
            <m:endChr m:val=""/>
            <m:grow/>
          </m:dPr>
          <m:e>
            <m:eqArr>
              <m:e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  <m:r>
                      <m:rPr>
                        <m:sty m:val="bi"/>
                      </m:rPr>
                      <m:t>u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t</m:t>
                    </m:r>
                  </m:den>
                </m:f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u</m:t>
                </m:r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∇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bi"/>
                  </m:rPr>
                  <m:t>u</m:t>
                </m:r>
                <m:r>
                  <m:t>&amp;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ρ</m:t>
                    </m:r>
                  </m:den>
                </m:f>
                <m:r>
                  <m:rPr>
                    <m:sty m:val="p"/>
                  </m:rPr>
                  <m:t>∇</m:t>
                </m:r>
                <m:r>
                  <m:t>p</m:t>
                </m:r>
                <m:r>
                  <m:rPr>
                    <m:sty m:val="p"/>
                  </m:rPr>
                  <m:t>+</m:t>
                </m:r>
                <m:r>
                  <m:t>ν</m:t>
                </m:r>
                <m:r>
                  <m:t> </m:t>
                </m:r>
                <m:sSup>
                  <m:e>
                    <m:r>
                      <m:rPr>
                        <m:sty m:val="p"/>
                      </m:rPr>
                      <m:t>∇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bi"/>
                  </m:rPr>
                  <m:t>u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bi"/>
                  </m:rPr>
                  <m:t>f</m:t>
                </m:r>
                <m:r>
                  <m:rPr>
                    <m:sty m:val="p"/>
                  </m:rPr>
                  <m:t>,</m:t>
                </m:r>
                <m:r>
                  <m:t>&amp;</m:t>
                </m:r>
                <m:r>
                  <m:t>&amp;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x</m:t>
                </m:r>
                <m:r>
                  <m:rPr>
                    <m:sty m:val="p"/>
                  </m:rPr>
                  <m:t>,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∈</m:t>
                </m:r>
                <m:r>
                  <m:rPr>
                    <m:sty m:val="p"/>
                  </m:rPr>
                  <m:t>Ω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T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e>
              <m:e>
                <m:r>
                  <m:rPr>
                    <m:sty m:val="p"/>
                  </m:rPr>
                  <m:t>∇</m:t>
                </m:r>
                <m:r>
                  <m:rPr>
                    <m:sty m:val="p"/>
                  </m:rPr>
                  <m:t>⋅</m:t>
                </m:r>
                <m:r>
                  <m:rPr>
                    <m:sty m:val="bi"/>
                  </m:rPr>
                  <m:t>u</m:t>
                </m:r>
                <m:r>
                  <m:t>&amp;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&amp;</m:t>
                </m:r>
                <m:r>
                  <m:t>&amp;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x</m:t>
                </m:r>
                <m:r>
                  <m:rPr>
                    <m:sty m:val="p"/>
                  </m:rPr>
                  <m:t>,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∈</m:t>
                </m:r>
                <m:r>
                  <m:rPr>
                    <m:sty m:val="p"/>
                  </m:rPr>
                  <m:t>Ω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T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e>
              <m:e>
                <m:r>
                  <m:rPr>
                    <m:sty m:val="bi"/>
                  </m:rPr>
                  <m:t>u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x</m:t>
                </m:r>
                <m:r>
                  <m:rPr>
                    <m:sty m:val="p"/>
                  </m:rPr>
                  <m:t>,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  <m:r>
                  <m:t>&amp;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rPr>
                        <m:sty m:val="bi"/>
                      </m:rPr>
                      <m:t>u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r>
                  <m:t>&amp;</m:t>
                </m:r>
                <m:r>
                  <m:t>&amp;</m:t>
                </m:r>
                <m:r>
                  <m:rPr>
                    <m:sty m:val="bi"/>
                  </m:rPr>
                  <m:t>x</m:t>
                </m:r>
                <m:r>
                  <m:rPr>
                    <m:sty m:val="p"/>
                  </m:rPr>
                  <m:t>∈</m:t>
                </m:r>
                <m:r>
                  <m:rPr>
                    <m:sty m:val="p"/>
                  </m:rPr>
                  <m:t>Ω</m:t>
                </m:r>
                <m:r>
                  <m:rPr>
                    <m:sty m:val="p"/>
                  </m:rPr>
                  <m:t>,</m:t>
                </m:r>
              </m:e>
            </m:eqArr>
          </m:e>
        </m:d>
      </m:oMath>
      <w:r>
        <w:tab/>
      </w:r>
      <w:bookmarkStart w:id="10" w:name="eq_ns"/>
      <w:r>
        <w:rPr>
          <w:lang w:val="zh-CN"/>
        </w:rPr>
        <w:t xml:space="preserve">(1)</w:t>
      </w:r>
      <w:bookmarkEnd w:id="10"/>
    </w:p>
    <w:p>
      <w:pPr>
        <w:pStyle w:val="BodyText"/>
      </w:pPr>
      <w:r>
        <w:rPr>
          <w:rFonts w:hint="eastAsia"/>
          <w:lang w:val="zh-CN"/>
        </w:rPr>
        <w:t xml:space="preserve">其中</w:t>
      </w:r>
      <w:r>
        <w:rPr>
          <w:lang w:val="zh-CN"/>
        </w:rPr>
        <w:t xml:space="preserve"> </w:t>
      </w:r>
      <m:oMath>
        <m:r>
          <m:t>ν</m:t>
        </m:r>
      </m:oMath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为运动粘度。以神经网络</w:t>
      </w:r>
      <w:r>
        <w:rPr>
          <w:lang w:val="zh-CN"/>
        </w:rP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bi"/>
                  </m:rPr>
                  <m:t>u</m:t>
                </m:r>
              </m:e>
            </m:acc>
          </m:e>
          <m:sub>
            <m:r>
              <m:t>θ</m:t>
            </m:r>
          </m:sub>
        </m:sSub>
      </m:oMath>
      <w:r>
        <w:rPr>
          <w:lang w:val="zh-CN"/>
        </w:rPr>
        <w:t xml:space="preserve">、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θ</m:t>
            </m:r>
          </m:sub>
        </m:sSub>
      </m:oMath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近似解，定义动量残差</w:t>
      </w:r>
      <w:r>
        <w:rPr>
          <w:lang w:val="zh-CN"/>
        </w:rPr>
        <w:t xml:space="preserve"> </w:t>
      </w:r>
      <m:oMath>
        <m:sSub>
          <m:e>
            <m:r>
              <m:rPr>
                <m:sty m:val="bi"/>
              </m:rPr>
              <m:t>r</m:t>
            </m:r>
          </m:e>
          <m:sub>
            <m:r>
              <m:t>θ</m:t>
            </m:r>
          </m:sub>
        </m:sSub>
        <m:r>
          <m:rPr>
            <m:sty m:val="p"/>
          </m:rPr>
          <m:t>=</m:t>
        </m:r>
        <m:sSub>
          <m:e>
            <m:r>
              <m:rPr>
                <m:sty m:val="p"/>
              </m:rPr>
              <m:t>∂</m:t>
            </m:r>
          </m:e>
          <m:sub>
            <m:r>
              <m:t>t</m:t>
            </m:r>
          </m:sub>
        </m:sSub>
        <m:sSub>
          <m:e>
            <m:acc>
              <m:accPr>
                <m:chr m:val="̂"/>
              </m:accPr>
              <m:e>
                <m:r>
                  <m:rPr>
                    <m:sty m:val="bi"/>
                  </m:rPr>
                  <m:t>u</m:t>
                </m:r>
              </m:e>
            </m:acc>
          </m:e>
          <m:sub>
            <m:r>
              <m:t>θ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(</m:t>
        </m:r>
        <m:sSub>
          <m:e>
            <m:acc>
              <m:accPr>
                <m:chr m:val="̂"/>
              </m:accPr>
              <m:e>
                <m:r>
                  <m:rPr>
                    <m:sty m:val="bi"/>
                  </m:rPr>
                  <m:t>u</m:t>
                </m:r>
              </m:e>
            </m:acc>
          </m:e>
          <m:sub>
            <m:r>
              <m:t>θ</m:t>
            </m:r>
          </m:sub>
        </m:sSub>
        <m:r>
          <m:rPr>
            <m:sty m:val="p"/>
          </m:rPr>
          <m:t>⋅</m:t>
        </m:r>
        <m:r>
          <m:rPr>
            <m:sty m:val="p"/>
          </m:rPr>
          <m:t>∇</m:t>
        </m:r>
        <m:r>
          <m:rPr>
            <m:sty m:val="p"/>
          </m:rPr>
          <m:t>)</m:t>
        </m:r>
        <m:sSub>
          <m:e>
            <m:acc>
              <m:accPr>
                <m:chr m:val="̂"/>
              </m:accPr>
              <m:e>
                <m:r>
                  <m:rPr>
                    <m:sty m:val="bi"/>
                  </m:rPr>
                  <m:t>u</m:t>
                </m:r>
              </m:e>
            </m:acc>
          </m:e>
          <m:sub>
            <m:r>
              <m:t>θ</m:t>
            </m:r>
          </m:sub>
        </m:sSub>
        <m:r>
          <m:rPr>
            <m:sty m:val="p"/>
          </m:rPr>
          <m:t>+</m:t>
        </m:r>
        <m:sSup>
          <m:e>
            <m:r>
              <m:t>ρ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∇</m:t>
        </m:r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θ</m:t>
            </m:r>
          </m:sub>
        </m:sSub>
        <m:r>
          <m:rPr>
            <m:sty m:val="p"/>
          </m:rPr>
          <m:t>−</m:t>
        </m:r>
        <m:r>
          <m:t>ν</m:t>
        </m:r>
        <m:sSup>
          <m:e>
            <m:r>
              <m:rPr>
                <m:sty m:val="p"/>
              </m:rPr>
              <m:t>∇</m:t>
            </m:r>
          </m:e>
          <m:sup>
            <m:r>
              <m:t>2</m:t>
            </m:r>
          </m:sup>
        </m:sSup>
        <m:sSub>
          <m:e>
            <m:acc>
              <m:accPr>
                <m:chr m:val="̂"/>
              </m:accPr>
              <m:e>
                <m:r>
                  <m:rPr>
                    <m:sty m:val="bi"/>
                  </m:rPr>
                  <m:t>u</m:t>
                </m:r>
              </m:e>
            </m:acc>
          </m:e>
          <m:sub>
            <m:r>
              <m:t>θ</m:t>
            </m:r>
          </m:sub>
        </m:sSub>
        <m:r>
          <m:rPr>
            <m:sty m:val="p"/>
          </m:rPr>
          <m:t>−</m:t>
        </m:r>
        <m:r>
          <m:rPr>
            <m:sty m:val="bi"/>
          </m:rPr>
          <m:t>f</m:t>
        </m:r>
      </m:oMath>
      <w:r>
        <w:rPr>
          <w:lang w:val="zh-CN"/>
        </w:rPr>
        <w:t xml:space="preserve">。</w:t>
      </w:r>
    </w:p>
    <w:p>
      <w:pPr>
        <w:pStyle w:val="Heading1"/>
      </w:pPr>
      <w:bookmarkStart w:id="17" w:name="sec_method"/>
      <w:r>
        <w:rPr>
          <w:rStyle w:val="SectionNumber"/>
          <w:lang w:val="zh-CN"/>
        </w:rPr>
        <w:t xml:space="preserve">3</w:t>
      </w:r>
      <w:r>
        <w:tab/>
      </w:r>
      <w:r>
        <w:rPr>
          <w:rFonts w:hint="eastAsia"/>
          <w:lang w:val="zh-CN"/>
        </w:rPr>
        <w:t xml:space="preserve">方法</w:t>
      </w:r>
      <w:bookmarkEnd w:id="17"/>
    </w:p>
    <w:p>
      <w:pPr>
        <w:pStyle w:val="Heading2"/>
      </w:pPr>
      <w:bookmarkStart w:id="16" w:name="df_13f65505dc"/>
      <w:r>
        <w:rPr>
          <w:rStyle w:val="SectionNumber"/>
          <w:lang w:val="zh-CN"/>
        </w:rPr>
        <w:t xml:space="preserve">3.1</w:t>
      </w:r>
      <w:r>
        <w:tab/>
      </w:r>
      <w:r>
        <w:rPr>
          <w:rFonts w:hint="eastAsia"/>
          <w:lang w:val="zh-CN"/>
        </w:rPr>
        <w:t xml:space="preserve">注意力加权残差</w:t>
      </w:r>
      <w:bookmarkEnd w:id="16"/>
    </w:p>
    <w:p>
      <w:pPr>
        <w:pStyle w:val="FirstParagraph"/>
      </w:pPr>
      <w:r>
        <w:rPr>
          <w:rFonts w:hint="eastAsia"/>
          <w:lang w:val="zh-CN"/>
        </w:rPr>
        <w:t xml:space="preserve">对</w:t>
      </w:r>
      <w:r>
        <w:rPr>
          <w:lang w:val="zh-CN"/>
        </w:rPr>
        <w:t xml:space="preserve"> </w:t>
      </w:r>
      <m:oMath>
        <m:sSub>
          <m:e>
            <m:r>
              <m:t>N</m:t>
            </m:r>
          </m:e>
          <m:sub>
            <m:r>
              <m:t>r</m:t>
            </m:r>
          </m:sub>
        </m:sSub>
      </m:oMath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个配点</w:t>
      </w:r>
      <w:r>
        <w:rPr>
          <w:lang w:val="zh-CN"/>
        </w:rPr>
        <w:t xml:space="preserve"> </w:t>
      </w:r>
      <m:oMath>
        <m:r>
          <m:rPr>
            <m:sty m:val="p"/>
          </m:rPr>
          <m:t>{</m:t>
        </m:r>
        <m:sSub>
          <m:e>
            <m:r>
              <m:rPr>
                <m:sty m:val="bi"/>
              </m:rP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}</m:t>
        </m:r>
      </m:oMath>
      <w:r>
        <w:rPr>
          <w:rFonts w:hint="eastAsia"/>
          <w:lang w:val="zh-CN"/>
        </w:rPr>
        <w:t xml:space="preserve">，权重由残差特征经缩放点积注意力得到：</w:t>
      </w:r>
    </w:p>
    <w:p>
      <w:pPr>
        <w:pStyle w:val="DFEquation"/>
      </w:pPr>
      <w:r>
        <w:tab/>
      </w:r>
      <m:oMath>
        <m:r>
          <m:rPr>
            <m:sty m:val="bi"/>
          </m:rPr>
          <m:t>λ</m:t>
        </m:r>
        <m:r>
          <m:rPr>
            <m:sty m:val="p"/>
          </m:rPr>
          <m:t>=</m:t>
        </m:r>
        <m:r>
          <m:rPr>
            <m:sty m:val="p"/>
          </m:rPr>
          <m:t>softmax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m:t>Q</m:t>
                </m:r>
                <m:sSup>
                  <m:e>
                    <m:r>
                      <m:t>K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</m:num>
              <m:den>
                <m:rad>
                  <m:radPr>
                    <m:degHide m:val="on"/>
                  </m:radPr>
                  <m:deg/>
                  <m:e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rad>
              </m:den>
            </m:f>
          </m:e>
        </m:d>
        <m:r>
          <m:t>V</m:t>
        </m:r>
        <m:r>
          <m:rPr>
            <m:sty m:val="p"/>
          </m:rPr>
          <m:t>,</m:t>
        </m:r>
        <m:r>
          <m:t>  </m:t>
        </m:r>
        <m:r>
          <m:t>Q</m:t>
        </m:r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sSub>
                    <m:e>
                      <m:r>
                        <m:t>q</m:t>
                      </m:r>
                    </m:e>
                    <m:sub>
                      <m:r>
                        <m:t>11</m:t>
                      </m:r>
                    </m:sub>
                  </m:sSub>
                </m:e>
                <m:e>
                  <m:sSub>
                    <m:e>
                      <m:r>
                        <m:t>q</m:t>
                      </m:r>
                    </m:e>
                    <m:sub>
                      <m:r>
                        <m:t>12</m:t>
                      </m:r>
                    </m:sub>
                  </m:sSub>
                </m:e>
                <m:e>
                  <m:r>
                    <m:rPr>
                      <m:sty m:val="p"/>
                    </m:rPr>
                    <m:t>⋯</m:t>
                  </m:r>
                </m:e>
                <m:e>
                  <m:sSub>
                    <m:e>
                      <m:r>
                        <m:t>q</m:t>
                      </m:r>
                    </m:e>
                    <m:sub>
                      <m:r>
                        <m:t>1</m:t>
                      </m:r>
                      <m:r>
                        <m:t>d</m:t>
                      </m:r>
                    </m:sub>
                  </m:sSub>
                </m:e>
              </m:mr>
              <m:mr>
                <m:e>
                  <m:sSub>
                    <m:e>
                      <m:r>
                        <m:t>q</m:t>
                      </m:r>
                    </m:e>
                    <m:sub>
                      <m:r>
                        <m:t>21</m:t>
                      </m:r>
                    </m:sub>
                  </m:sSub>
                </m:e>
                <m:e>
                  <m:sSub>
                    <m:e>
                      <m:r>
                        <m:t>q</m:t>
                      </m:r>
                    </m:e>
                    <m:sub>
                      <m:r>
                        <m:t>22</m:t>
                      </m:r>
                    </m:sub>
                  </m:sSub>
                </m:e>
                <m:e>
                  <m:r>
                    <m:rPr>
                      <m:sty m:val="p"/>
                    </m:rPr>
                    <m:t>⋯</m:t>
                  </m:r>
                </m:e>
                <m:e>
                  <m:sSub>
                    <m:e>
                      <m:r>
                        <m:t>q</m:t>
                      </m:r>
                    </m:e>
                    <m:sub>
                      <m:r>
                        <m:t>2</m:t>
                      </m:r>
                      <m:r>
                        <m:t>d</m:t>
                      </m:r>
                    </m:sub>
                  </m:sSub>
                </m:e>
              </m:mr>
              <m:mr>
                <m:e>
                  <m:r>
                    <m:rPr>
                      <m:sty m:val="p"/>
                    </m:rPr>
                    <m:t>⋮</m:t>
                  </m:r>
                </m:e>
                <m:e>
                  <m:r>
                    <m:rPr>
                      <m:sty m:val="p"/>
                    </m:rPr>
                    <m:t>⋮</m:t>
                  </m:r>
                </m:e>
                <m:e>
                  <m:r>
                    <m:rPr>
                      <m:sty m:val="p"/>
                    </m:rPr>
                    <m:t>⋱</m:t>
                  </m:r>
                </m:e>
                <m:e>
                  <m:r>
                    <m:rPr>
                      <m:sty m:val="p"/>
                    </m:rPr>
                    <m:t>⋮</m:t>
                  </m:r>
                </m:e>
              </m:mr>
              <m:mr>
                <m:e>
                  <m:sSub>
                    <m:e>
                      <m:r>
                        <m:t>q</m:t>
                      </m:r>
                    </m:e>
                    <m:sub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r</m:t>
                          </m:r>
                        </m:sub>
                      </m:sSub>
                      <m:r>
                        <m:t>1</m:t>
                      </m:r>
                    </m:sub>
                  </m:sSub>
                </m:e>
                <m:e>
                  <m:sSub>
                    <m:e>
                      <m:r>
                        <m:t>q</m:t>
                      </m:r>
                    </m:e>
                    <m:sub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r</m:t>
                          </m:r>
                        </m:sub>
                      </m:sSub>
                      <m:r>
                        <m:t>2</m:t>
                      </m:r>
                    </m:sub>
                  </m:sSub>
                </m:e>
                <m:e>
                  <m:r>
                    <m:rPr>
                      <m:sty m:val="p"/>
                    </m:rPr>
                    <m:t>⋯</m:t>
                  </m:r>
                </m:e>
                <m:e>
                  <m:sSub>
                    <m:e>
                      <m:r>
                        <m:t>q</m:t>
                      </m:r>
                    </m:e>
                    <m:sub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r</m:t>
                          </m:r>
                        </m:sub>
                      </m:sSub>
                      <m:r>
                        <m:t>d</m:t>
                      </m:r>
                    </m:sub>
                  </m:sSub>
                </m:e>
              </m:mr>
            </m:m>
          </m:e>
        </m:d>
      </m:oMath>
      <w:r>
        <w:tab/>
      </w:r>
      <w:bookmarkStart w:id="12" w:name="eq_attn"/>
      <w:r>
        <w:rPr>
          <w:lang w:val="zh-CN"/>
        </w:rPr>
        <w:t xml:space="preserve">(2)</w:t>
      </w:r>
      <w:bookmarkEnd w:id="12"/>
    </w:p>
    <w:p>
      <w:pPr>
        <w:pStyle w:val="BodyText"/>
      </w:pPr>
      <w:r>
        <w:rPr>
          <w:rFonts w:hint="eastAsia"/>
          <w:lang w:val="zh-CN"/>
        </w:rPr>
        <w:t xml:space="preserve">总损失为加权残差、初边值条件与散度约束之和：</w:t>
      </w:r>
    </w:p>
    <w:p>
      <w:pPr>
        <w:pStyle w:val="DFEquation"/>
      </w:pPr>
      <w:r>
        <w:tab/>
      </w:r>
      <m:oMath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=</m:t>
        </m:r>
        <m:limLow>
          <m:e>
            <m:limLow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t>N</m:t>
                        </m:r>
                      </m:e>
                      <m:sub>
                        <m:r>
                          <m:t>r</m:t>
                        </m:r>
                      </m:sub>
                    </m:sSub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sSub>
                      <m:e>
                        <m:r>
                          <m:t>N</m:t>
                        </m:r>
                      </m:e>
                      <m:sub>
                        <m:r>
                          <m:t>r</m:t>
                        </m:r>
                      </m:sub>
                    </m:sSub>
                  </m:sup>
                  <m:e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∥</m:t>
                </m:r>
                <m:sSub>
                  <m:e>
                    <m:r>
                      <m:rPr>
                        <m:sty m:val="bi"/>
                      </m:rPr>
                      <m:t>r</m:t>
                    </m:r>
                  </m:e>
                  <m:sub>
                    <m:r>
                      <m:t>θ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rPr>
                        <m:sty m:val="bi"/>
                      </m:rP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sSubSup>
                  <m:e>
                    <m:r>
                      <m:rPr>
                        <m:sty m:val="p"/>
                      </m:rPr>
                      <m:t>∥</m:t>
                    </m:r>
                  </m:e>
                  <m:sub>
                    <m:r>
                      <m:t>2</m:t>
                    </m:r>
                  </m:sub>
                  <m:sup>
                    <m:r>
                      <m:t>2</m:t>
                    </m:r>
                  </m:sup>
                </m:sSubSup>
              </m:e>
              <m:lim>
                <m:r>
                  <m:rPr>
                    <m:sty m:val="p"/>
                  </m:rPr>
                  <m:t>⏟</m:t>
                </m:r>
              </m:lim>
            </m:limLow>
          </m:e>
          <m:lim>
            <m:r>
              <m:rPr>
                <m:nor/>
                <m:sty m:val="p"/>
              </m:rPr>
              <m:t>方程残差</m:t>
            </m:r>
          </m:lim>
        </m:limLow>
        <m:r>
          <m:rPr>
            <m:sty m:val="p"/>
          </m:rPr>
          <m:t>+</m:t>
        </m:r>
        <m:limLow>
          <m:e>
            <m:limLow>
              <m:e>
                <m:f>
                  <m:fPr>
                    <m:type m:val="bar"/>
                  </m:fPr>
                  <m:num>
                    <m:r>
                      <m:t>β</m:t>
                    </m:r>
                  </m:num>
                  <m:den>
                    <m:sSub>
                      <m:e>
                        <m:r>
                          <m:t>N</m:t>
                        </m:r>
                      </m:e>
                      <m:sub>
                        <m:r>
                          <m:t>b</m:t>
                        </m:r>
                      </m:sub>
                    </m:sSub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sSub>
                      <m:e>
                        <m:r>
                          <m:t>N</m:t>
                        </m:r>
                      </m:e>
                      <m:sub>
                        <m:r>
                          <m:t>b</m:t>
                        </m:r>
                      </m:sub>
                    </m:sSub>
                  </m:sup>
                  <m:e>
                    <m:r>
                      <m:rPr>
                        <m:sty m:val="p"/>
                      </m:rPr>
                      <m:t>∥</m:t>
                    </m:r>
                  </m:e>
                </m:nary>
                <m:sSub>
                  <m:e>
                    <m:acc>
                      <m:accPr>
                        <m:chr m:val="̂"/>
                      </m:accPr>
                      <m:e>
                        <m:r>
                          <m:rPr>
                            <m:sty m:val="bi"/>
                          </m:rPr>
                          <m:t>u</m:t>
                        </m:r>
                      </m:e>
                    </m:acc>
                  </m:e>
                  <m:sub>
                    <m:r>
                      <m:t>θ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rPr>
                        <m:sty m:val="bi"/>
                      </m:rPr>
                      <m:t>x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t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sSub>
                  <m:e>
                    <m:r>
                      <m:rPr>
                        <m:sty m:val="bi"/>
                      </m:rPr>
                      <m:t>g</m:t>
                    </m:r>
                  </m:e>
                  <m:sub>
                    <m:r>
                      <m:t>j</m:t>
                    </m:r>
                  </m:sub>
                </m:sSub>
                <m:sSubSup>
                  <m:e>
                    <m:r>
                      <m:rPr>
                        <m:sty m:val="p"/>
                      </m:rPr>
                      <m:t>∥</m:t>
                    </m:r>
                  </m:e>
                  <m:sub>
                    <m:r>
                      <m:t>2</m:t>
                    </m:r>
                  </m:sub>
                  <m:sup>
                    <m:r>
                      <m:t>2</m:t>
                    </m:r>
                  </m:sup>
                </m:sSubSup>
              </m:e>
              <m:lim>
                <m:r>
                  <m:rPr>
                    <m:sty m:val="p"/>
                  </m:rPr>
                  <m:t>⏟</m:t>
                </m:r>
              </m:lim>
            </m:limLow>
          </m:e>
          <m:lim>
            <m:r>
              <m:rPr>
                <m:nor/>
                <m:sty m:val="p"/>
              </m:rPr>
              <m:t>边界条件</m:t>
            </m:r>
          </m:lim>
        </m:limLow>
        <m:r>
          <m:rPr>
            <m:sty m:val="p"/>
          </m:rPr>
          <m:t>+</m:t>
        </m:r>
        <m:r>
          <m:t>γ</m:t>
        </m:r>
        <m:nary>
          <m:naryPr>
            <m:chr m:val="∫"/>
            <m:limLoc m:val="subSup"/>
            <m:subHide m:val="off"/>
            <m:supHide m:val="on"/>
          </m:naryPr>
          <m:sub>
            <m:r>
              <m:rPr>
                <m:sty m:val="p"/>
              </m:rPr>
              <m:t>Ω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(</m:t>
            </m:r>
          </m:e>
        </m:nary>
        <m:r>
          <m:rPr>
            <m:sty m:val="p"/>
          </m:rPr>
          <m:t>∇</m:t>
        </m:r>
        <m:r>
          <m:rPr>
            <m:sty m:val="p"/>
          </m:rPr>
          <m:t>⋅</m:t>
        </m:r>
        <m:sSub>
          <m:e>
            <m:acc>
              <m:accPr>
                <m:chr m:val="̂"/>
              </m:accPr>
              <m:e>
                <m:r>
                  <m:rPr>
                    <m:sty m:val="bi"/>
                  </m:rPr>
                  <m:t>u</m:t>
                </m:r>
              </m:e>
            </m:acc>
          </m:e>
          <m:sub>
            <m:r>
              <m:t>θ</m:t>
            </m:r>
          </m:sub>
        </m:sSub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t> </m:t>
        </m:r>
        <m:r>
          <m:rPr>
            <m:sty m:val="p"/>
          </m:rPr>
          <m:t>d</m:t>
        </m:r>
        <m:r>
          <m:rPr>
            <m:sty m:val="bi"/>
          </m:rPr>
          <m:t>x</m:t>
        </m:r>
      </m:oMath>
      <w:r>
        <w:tab/>
      </w:r>
      <w:bookmarkStart w:id="13" w:name="eq_loss"/>
      <w:r>
        <w:rPr>
          <w:lang w:val="zh-CN"/>
        </w:rPr>
        <w:t xml:space="preserve">(3)</w:t>
      </w:r>
      <w:bookmarkEnd w:id="13"/>
    </w:p>
    <w:p>
      <w:pPr>
        <w:pStyle w:val="BodyText"/>
      </w:pPr>
      <w:r>
        <w:rPr>
          <w:rFonts w:hint="eastAsia"/>
          <w:lang w:val="zh-CN"/>
        </w:rPr>
        <w:t xml:space="preserve">学习率按分段余弦策略调整：</w:t>
      </w:r>
    </w:p>
    <w:p>
      <w:pPr>
        <w:pStyle w:val="DFEquation"/>
      </w:pPr>
      <w:r>
        <w:tab/>
      </w:r>
      <m:oMath>
        <m:r>
          <m:t>η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d>
          <m:dPr>
            <m:begChr m:val="{"/>
            <m:sepChr m:val=""/>
            <m:end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sSub>
                    <m:e>
                      <m:r>
                        <m:t>η</m:t>
                      </m:r>
                    </m:e>
                    <m:sub>
                      <m:r>
                        <m:t>0</m:t>
                      </m:r>
                    </m:sub>
                  </m:sSub>
                  <m:f>
                    <m:fPr>
                      <m:type m:val="bar"/>
                    </m:fPr>
                    <m:num>
                      <m:r>
                        <m:t>k</m:t>
                      </m:r>
                    </m:num>
                    <m:den>
                      <m:sSub>
                        <m:e>
                          <m:r>
                            <m:t>k</m:t>
                          </m:r>
                        </m:e>
                        <m:sub>
                          <m:r>
                            <m:t>w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m:t>,</m:t>
                  </m:r>
                </m:e>
                <m:e>
                  <m:r>
                    <m:t>0</m:t>
                  </m:r>
                  <m:r>
                    <m:rPr>
                      <m:sty m:val="p"/>
                    </m:rPr>
                    <m:t>≤</m:t>
                  </m:r>
                  <m:r>
                    <m:t>k</m:t>
                  </m:r>
                  <m:r>
                    <m:rPr>
                      <m:sty m:val="p"/>
                    </m:rPr>
                    <m:t>&lt;</m:t>
                  </m:r>
                  <m:sSub>
                    <m:e>
                      <m:r>
                        <m:t>k</m:t>
                      </m:r>
                    </m:e>
                    <m:sub>
                      <m:r>
                        <m:t>w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</m:e>
              </m:mr>
              <m:mr>
                <m:e>
                  <m:sSub>
                    <m:e>
                      <m:r>
                        <m:t>η</m:t>
                      </m:r>
                    </m:e>
                    <m:sub>
                      <m:r>
                        <m:rPr>
                          <m:sty m:val="p"/>
                        </m:rPr>
                        <m:t>min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η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η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m:t>min</m:t>
                          </m:r>
                        </m:sub>
                      </m:sSub>
                    </m:num>
                    <m:den>
                      <m:r>
                        <m:t>2</m:t>
                      </m:r>
                    </m:den>
                  </m:f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cos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π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k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sSub>
                                <m:e>
                                  <m:r>
                                    <m:t>k</m:t>
                                  </m:r>
                                </m:e>
                                <m:sub>
                                  <m:r>
                                    <m:t>w</m:t>
                                  </m:r>
                                </m:sub>
                              </m:sSub>
                            </m:num>
                            <m:den>
                              <m:r>
                                <m:t>K</m:t>
                              </m:r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sSub>
                                <m:e>
                                  <m:r>
                                    <m:t>k</m:t>
                                  </m:r>
                                </m:e>
                                <m:sub>
                                  <m:r>
                                    <m:t>w</m:t>
                                  </m:r>
                                </m:sub>
                              </m:sSub>
                            </m:den>
                          </m:f>
                        </m:e>
                      </m:d>
                    </m:e>
                  </m:d>
                  <m:r>
                    <m:rPr>
                      <m:sty m:val="p"/>
                    </m:rPr>
                    <m:t>,</m:t>
                  </m:r>
                </m:e>
                <m:e>
                  <m:sSub>
                    <m:e>
                      <m:r>
                        <m:t>k</m:t>
                      </m:r>
                    </m:e>
                    <m:sub>
                      <m:r>
                        <m:t>w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k</m:t>
                  </m:r>
                  <m:r>
                    <m:rPr>
                      <m:sty m:val="p"/>
                    </m:rPr>
                    <m:t>≤</m:t>
                  </m:r>
                  <m:r>
                    <m:t>K</m:t>
                  </m:r>
                  <m:r>
                    <m:rPr>
                      <m:sty m:val="p"/>
                    </m:rPr>
                    <m:t>.</m:t>
                  </m:r>
                </m:e>
              </m:mr>
            </m:m>
          </m:e>
        </m:d>
      </m:oMath>
      <w:r>
        <w:tab/>
      </w:r>
      <w:bookmarkStart w:id="14" w:name="eq_lr"/>
      <w:r>
        <w:rPr>
          <w:lang w:val="zh-CN"/>
        </w:rPr>
        <w:t xml:space="preserve">(4)</w:t>
      </w:r>
      <w:bookmarkEnd w:id="14"/>
    </w:p>
    <w:p>
      <w:pPr>
        <w:pStyle w:val="DFPara2"/>
      </w:pPr>
      <w:r>
        <w:rPr>
          <w:rFonts w:hint="eastAsia"/>
          <w:b/>
          <w:bCs/>
          <w:lang w:val="zh-CN"/>
        </w:rPr>
        <w:t xml:space="preserve">定理</w:t>
      </w:r>
      <w:r>
        <w:rPr>
          <w:b/>
          <w:bCs/>
          <w:lang w:val="zh-CN"/>
        </w:rPr>
        <w:t xml:space="preserve"> </w:t>
      </w:r>
      <w:r>
        <w:rPr>
          <w:rFonts w:hint="eastAsia"/>
          <w:b/>
          <w:bCs/>
          <w:lang w:val="zh-CN"/>
        </w:rPr>
        <w:t xml:space="preserve">1（误差上界）</w:t>
      </w:r>
    </w:p>
    <w:p>
      <w:pPr>
        <w:pStyle w:val="DFPara1"/>
      </w:pPr>
      <w:r>
        <w:rPr>
          <w:rFonts w:hint="eastAsia"/>
          <w:lang w:val="zh-CN"/>
        </w:rPr>
        <w:t xml:space="preserve">设真解</w:t>
      </w:r>
      <w:r>
        <w:rPr>
          <w:lang w:val="zh-CN"/>
        </w:rPr>
        <w:t xml:space="preserve"> </w:t>
      </w:r>
      <m:oMath>
        <m:r>
          <m:rPr>
            <m:sty m:val="bi"/>
          </m:rPr>
          <m:t>u</m:t>
        </m:r>
        <m:r>
          <m:rPr>
            <m:sty m:val="p"/>
          </m:rPr>
          <m:t>∈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(</m:t>
        </m:r>
        <m:r>
          <m:rPr>
            <m:sty m:val="p"/>
          </m:rPr>
          <m:t>Ω</m:t>
        </m:r>
        <m:r>
          <m:rPr>
            <m:sty m:val="p"/>
          </m:rPr>
          <m:t>)</m:t>
        </m:r>
      </m:oMath>
      <w:r>
        <w:rPr>
          <w:rFonts w:hint="eastAsia"/>
          <w:lang w:val="zh-CN"/>
        </w:rPr>
        <w:t xml:space="preserve">，网络宽度为</w:t>
      </w:r>
      <w:r>
        <w:rPr>
          <w:lang w:val="zh-CN"/>
        </w:rPr>
        <w:t xml:space="preserve"> </w:t>
      </w:r>
      <m:oMath>
        <m:r>
          <m:t>m</m:t>
        </m:r>
      </m:oMath>
      <w:r>
        <w:rPr>
          <w:rFonts w:hint="eastAsia"/>
          <w:lang w:val="zh-CN"/>
        </w:rPr>
        <w:t xml:space="preserve">。若训练损失满足</w:t>
      </w:r>
      <w:r>
        <w:rPr>
          <w:lang w:val="zh-CN"/>
        </w:rPr>
        <w:t xml:space="preserve"> </w:t>
      </w:r>
      <m:oMath>
        <m:r>
          <m:rPr>
            <m:scr m:val="script"/>
            <m:sty m:val="p"/>
          </m:rPr>
          <m:t>L</m:t>
        </m:r>
        <m:r>
          <m:rPr>
            <m:sty m:val="p"/>
          </m:rPr>
          <m:t>(</m:t>
        </m:r>
        <m:sSup>
          <m:e>
            <m:r>
              <m:t>θ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≤</m:t>
        </m:r>
        <m:r>
          <m:t>ε</m:t>
        </m:r>
      </m:oMath>
      <w:r>
        <w:rPr>
          <w:rFonts w:hint="eastAsia"/>
          <w:lang w:val="zh-CN"/>
        </w:rPr>
        <w:t xml:space="preserve">，则存在与</w:t>
      </w:r>
      <w:r>
        <w:rPr>
          <w:lang w:val="zh-CN"/>
        </w:rPr>
        <w:t xml:space="preserve"> </w:t>
      </w:r>
      <m:oMath>
        <m:r>
          <m:t>m</m:t>
        </m:r>
      </m:oMath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无关的常数</w:t>
      </w:r>
      <w:r>
        <w:rPr>
          <w:lang w:val="zh-CN"/>
        </w:rPr>
        <w:t xml:space="preserve"> </w:t>
      </w:r>
      <m:oMath>
        <m:r>
          <m:t>C</m:t>
        </m:r>
      </m:oMath>
      <w:r>
        <w:rPr>
          <w:rFonts w:hint="eastAsia"/>
          <w:lang w:val="zh-CN"/>
        </w:rPr>
        <w:t xml:space="preserve">，使</w:t>
      </w:r>
    </w:p>
    <w:p>
      <w:pPr>
        <w:pStyle w:val="DFEquation"/>
      </w:pPr>
      <w:r>
        <w:tab/>
      </w:r>
      <m:oMath>
        <m:r>
          <m:rPr>
            <m:sty m:val="p"/>
          </m:rPr>
          <m:t>∥</m:t>
        </m:r>
        <m:r>
          <m:rPr>
            <m:sty m:val="bi"/>
          </m:rPr>
          <m:t>u</m:t>
        </m:r>
        <m:r>
          <m:rPr>
            <m:sty m:val="p"/>
          </m:rPr>
          <m:t>−</m:t>
        </m:r>
        <m:sSub>
          <m:e>
            <m:acc>
              <m:accPr>
                <m:chr m:val="̂"/>
              </m:accPr>
              <m:e>
                <m:r>
                  <m:rPr>
                    <m:sty m:val="bi"/>
                  </m:rPr>
                  <m:t>u</m:t>
                </m:r>
              </m:e>
            </m:acc>
          </m:e>
          <m:sub>
            <m:sSup>
              <m:e>
                <m:r>
                  <m:t>θ</m:t>
                </m:r>
              </m:e>
              <m:sup>
                <m:r>
                  <m:rPr>
                    <m:sty m:val="p"/>
                  </m:rPr>
                  <m:t>*</m:t>
                </m:r>
              </m:sup>
            </m:sSup>
          </m:sub>
        </m:sSub>
        <m:sSub>
          <m:e>
            <m:r>
              <m:rPr>
                <m:sty m:val="p"/>
              </m:rPr>
              <m:t>∥</m:t>
            </m:r>
          </m:e>
          <m:sub>
            <m:sSup>
              <m:e>
                <m:r>
                  <m:t>L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(</m:t>
            </m:r>
            <m:r>
              <m:rPr>
                <m:sty m:val="p"/>
              </m:rPr>
              <m:t>Ω</m:t>
            </m:r>
            <m:r>
              <m:rPr>
                <m:sty m:val="p"/>
              </m:rPr>
              <m:t>)</m:t>
            </m:r>
          </m:sub>
        </m:sSub>
        <m:r>
          <m:t> </m:t>
        </m:r>
        <m:r>
          <m:rPr>
            <m:sty m:val="p"/>
          </m:rPr>
          <m:t>≤</m:t>
        </m:r>
        <m:r>
          <m:t> </m:t>
        </m:r>
        <m:r>
          <m:t>C</m:t>
        </m:r>
        <m:d>
          <m:dPr>
            <m:begChr m:val="("/>
            <m:sepChr m:val=""/>
            <m:endChr m:val=")"/>
            <m:grow/>
          </m:dPr>
          <m:e>
            <m:rad>
              <m:radPr>
                <m:degHide m:val="on"/>
              </m:radPr>
              <m:deg/>
              <m:e>
                <m:r>
                  <m:t>ε</m:t>
                </m:r>
              </m:e>
            </m:rad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rPr>
                    <m:sty m:val="p"/>
                  </m:rPr>
                  <m:t>ln</m:t>
                </m:r>
                <m:r>
                  <m:t>m</m:t>
                </m:r>
              </m:num>
              <m:den>
                <m:rad>
                  <m:radPr>
                    <m:degHide m:val="on"/>
                  </m:radPr>
                  <m:deg/>
                  <m:e>
                    <m:r>
                      <m:t>m</m:t>
                    </m:r>
                  </m:e>
                </m:rad>
              </m:den>
            </m:f>
          </m:e>
        </m:d>
        <m:r>
          <m:rPr>
            <m:sty m:val="p"/>
          </m:rPr>
          <m:t>exp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nary>
              <m:naryPr>
                <m:chr m:val="∫"/>
                <m:limLoc m:val="subSup"/>
                <m:subHide m:val="off"/>
                <m:supHide m:val="off"/>
              </m:naryPr>
              <m:sub>
                <m:r>
                  <m:t>0</m:t>
                </m:r>
              </m:sub>
              <m:sup>
                <m:r>
                  <m:t>T</m:t>
                </m:r>
              </m:sup>
              <m:e>
                <m:sSub>
                  <m:e>
                    <m:d>
                      <m:dPr>
                        <m:begChr m:val="‖"/>
                        <m:sepChr m:val=""/>
                        <m:endChr m:val="‖"/>
                        <m:grow/>
                      </m:dPr>
                      <m:e>
                        <m:r>
                          <m:rPr>
                            <m:sty m:val="p"/>
                          </m:rPr>
                          <m:t>∇</m:t>
                        </m:r>
                        <m:r>
                          <m:rPr>
                            <m:sty m:val="bi"/>
                          </m:rPr>
                          <m:t>u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s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</m:e>
                  <m:sub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</m:sSup>
                  </m:sub>
                </m:sSub>
              </m:e>
            </m:nary>
            <m:r>
              <m:t> </m:t>
            </m:r>
            <m:r>
              <m:rPr>
                <m:sty m:val="p"/>
              </m:rPr>
              <m:t>d</m:t>
            </m:r>
            <m:r>
              <m:t>s</m:t>
            </m:r>
          </m:e>
        </m:d>
        <m:r>
          <m:rPr>
            <m:sty m:val="p"/>
          </m:rPr>
          <m:t>.</m:t>
        </m:r>
      </m:oMath>
      <w:r>
        <w:tab/>
      </w:r>
      <w:bookmarkStart w:id="15" w:name="eq_bound"/>
      <w:r>
        <w:rPr>
          <w:lang w:val="zh-CN"/>
        </w:rPr>
        <w:t xml:space="preserve">(5)</w:t>
      </w:r>
      <w:bookmarkEnd w:id="15"/>
    </w:p>
    <w:p>
      <w:pPr>
        <w:pStyle w:val="BodyText"/>
      </w:pPr>
      <w:r>
        <w:rPr>
          <w:rFonts w:hint="eastAsia"/>
          <w:i/>
          <w:iCs/>
          <w:lang w:val="zh-CN"/>
        </w:rPr>
        <w:t xml:space="preserve">证明概要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对误差</w:t>
      </w:r>
      <w:r>
        <w:rPr>
          <w:lang w:val="zh-CN"/>
        </w:rPr>
        <w:t xml:space="preserve"> </w:t>
      </w:r>
      <m:oMath>
        <m:r>
          <m:rPr>
            <m:sty m:val="bi"/>
          </m:rPr>
          <m:t>e</m:t>
        </m:r>
        <m:r>
          <m:rPr>
            <m:sty m:val="p"/>
          </m:rPr>
          <m:t>=</m:t>
        </m:r>
        <m:r>
          <m:rPr>
            <m:sty m:val="bi"/>
          </m:rPr>
          <m:t>u</m:t>
        </m:r>
        <m:r>
          <m:rPr>
            <m:sty m:val="p"/>
          </m:rPr>
          <m:t>−</m:t>
        </m:r>
        <m:acc>
          <m:accPr>
            <m:chr m:val="̂"/>
          </m:accPr>
          <m:e>
            <m:r>
              <m:rPr>
                <m:sty m:val="bi"/>
              </m:rPr>
              <m:t>u</m:t>
            </m:r>
          </m:e>
        </m:acc>
      </m:oMath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作能量估计，并利用</w:t>
      </w:r>
      <w:r>
        <w:rPr>
          <w:lang w:val="zh-CN"/>
        </w:rPr>
        <w:t xml:space="preserve"> Grönwall </w:t>
      </w:r>
      <w:r>
        <w:rPr>
          <w:rFonts w:hint="eastAsia"/>
          <w:lang w:val="zh-CN"/>
        </w:rPr>
        <w:t xml:space="preserve">不等式：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</m:num>
                <m:den>
                  <m:r>
                    <m:rPr>
                      <m:sty m:val="p"/>
                    </m:rPr>
                    <m:t>d</m:t>
                  </m:r>
                  <m:r>
                    <m:t>t</m:t>
                  </m:r>
                </m:den>
              </m:f>
              <m:sSup>
                <m:e>
                  <m:d>
                    <m:dPr>
                      <m:begChr m:val="‖"/>
                      <m:sepChr m:val=""/>
                      <m:endChr m:val="‖"/>
                      <m:grow/>
                    </m:dPr>
                    <m:e>
                      <m:r>
                        <m:rPr>
                          <m:sty m:val="bi"/>
                        </m:rPr>
                        <m:t>e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ν</m:t>
              </m:r>
              <m:sSup>
                <m:e>
                  <m:d>
                    <m:dPr>
                      <m:begChr m:val="‖"/>
                      <m:sepChr m:val=""/>
                      <m:endChr m:val="‖"/>
                      <m:grow/>
                    </m:dPr>
                    <m:e>
                      <m:r>
                        <m:rPr>
                          <m:sty m:val="p"/>
                        </m:rPr>
                        <m:t>∇</m:t>
                      </m:r>
                      <m:r>
                        <m:rPr>
                          <m:sty m:val="bi"/>
                        </m:rPr>
                        <m:t>e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≤</m:t>
              </m:r>
              <m:sSub>
                <m:e>
                  <m:d>
                    <m:dPr>
                      <m:begChr m:val="‖"/>
                      <m:sepChr m:val=""/>
                      <m:endChr m:val="‖"/>
                      <m:grow/>
                    </m:dPr>
                    <m:e>
                      <m:r>
                        <m:rPr>
                          <m:sty m:val="p"/>
                        </m:rPr>
                        <m:t>∇</m:t>
                      </m:r>
                      <m:r>
                        <m:rPr>
                          <m:sty m:val="bi"/>
                        </m:rPr>
                        <m:t>u</m:t>
                      </m:r>
                    </m:e>
                  </m:d>
                </m:e>
                <m:sub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</m:sSup>
                </m:sub>
              </m:sSub>
              <m:sSup>
                <m:e>
                  <m:d>
                    <m:dPr>
                      <m:begChr m:val="‖"/>
                      <m:sepChr m:val=""/>
                      <m:endChr m:val="‖"/>
                      <m:grow/>
                    </m:dPr>
                    <m:e>
                      <m:r>
                        <m:rPr>
                          <m:sty m:val="bi"/>
                        </m:rPr>
                        <m:t>e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d>
                <m:dPr>
                  <m:begChr m:val="‖"/>
                  <m:sepChr m:val=""/>
                  <m:endChr m:val="‖"/>
                  <m:grow/>
                </m:dPr>
                <m:e>
                  <m:r>
                    <m:rPr>
                      <m:sty m:val="bi"/>
                    </m:rPr>
                    <m:t>r</m:t>
                  </m:r>
                </m:e>
              </m:d>
              <m:r>
                <m:t> </m:t>
              </m:r>
              <m:d>
                <m:dPr>
                  <m:begChr m:val="‖"/>
                  <m:sepChr m:val=""/>
                  <m:endChr m:val="‖"/>
                  <m:grow/>
                </m:dPr>
                <m:e>
                  <m:r>
                    <m:rPr>
                      <m:sty m:val="bi"/>
                    </m:rPr>
                    <m:t>e</m:t>
                  </m:r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d>
                        <m:dPr>
                          <m:begChr m:val="‖"/>
                          <m:sepChr m:val=""/>
                          <m:endChr m:val="‖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∇</m:t>
                          </m:r>
                          <m:r>
                            <m:rPr>
                              <m:sty m:val="bi"/>
                            </m:rPr>
                            <m:t>u</m:t>
                          </m:r>
                        </m:e>
                      </m:d>
                    </m:e>
                    <m:sub>
                      <m:sSup>
                        <m:e>
                          <m:r>
                            <m:t>L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∞</m:t>
                          </m:r>
                        </m:sup>
                      </m:sSup>
                    </m:sub>
                  </m:sSub>
                  <m:r>
                    <m:rPr>
                      <m:sty m:val="p"/>
                    </m:rPr>
                    <m:t>+</m:t>
                  </m:r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sSup>
                <m:e>
                  <m:d>
                    <m:dPr>
                      <m:begChr m:val="‖"/>
                      <m:sepChr m:val=""/>
                      <m:endChr m:val="‖"/>
                      <m:grow/>
                    </m:dPr>
                    <m:e>
                      <m:r>
                        <m:rPr>
                          <m:sty m:val="bi"/>
                        </m:rPr>
                        <m:t>e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p>
                <m:e>
                  <m:d>
                    <m:dPr>
                      <m:begChr m:val="‖"/>
                      <m:sepChr m:val=""/>
                      <m:endChr m:val="‖"/>
                      <m:grow/>
                    </m:dPr>
                    <m:e>
                      <m:r>
                        <m:rPr>
                          <m:sty m:val="bi"/>
                        </m:rPr>
                        <m:t>r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rPr>
          <w:rFonts w:hint="eastAsia"/>
          <w:lang w:val="zh-CN"/>
        </w:rPr>
        <w:t xml:space="preserve">积分并代入</w:t>
      </w:r>
      <w:r>
        <w:rPr>
          <w:lang w:val="zh-CN"/>
        </w:rPr>
        <w:t xml:space="preserve"> </w:t>
      </w:r>
      <w:hyperlink w:anchor="eq_loss">
        <w:r>
          <w:rPr>
            <w:rStyle w:val="Hyperlink"/>
            <w:rFonts w:hint="eastAsia"/>
            <w:lang w:val="zh-CN"/>
          </w:rPr>
          <w:t xml:space="preserve">式(3)</w:t>
        </w:r>
      </w:hyperlink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即得</w:t>
      </w:r>
      <w:r>
        <w:rPr>
          <w:lang w:val="zh-CN"/>
        </w:rPr>
        <w:t xml:space="preserve"> </w:t>
      </w:r>
      <w:hyperlink w:anchor="eq_bound">
        <w:r>
          <w:rPr>
            <w:rStyle w:val="Hyperlink"/>
            <w:rFonts w:hint="eastAsia"/>
            <w:lang w:val="zh-CN"/>
          </w:rPr>
          <w:t xml:space="preserve">式(5)</w:t>
        </w:r>
      </w:hyperlink>
      <w:r>
        <w:rPr>
          <w:lang w:val="zh-CN"/>
        </w:rPr>
        <w:t xml:space="preserve">。</w:t>
      </w:r>
      <m:oMath>
        <m:r>
          <m:rPr>
            <m:sty m:val="p"/>
          </m:rPr>
          <m:t>◼</m:t>
        </m:r>
      </m:oMath>
    </w:p>
    <w:p>
      <w:pPr>
        <w:pStyle w:val="Heading1"/>
      </w:pPr>
      <w:bookmarkStart w:id="29" w:name="sec_exp"/>
      <w:r>
        <w:rPr>
          <w:rStyle w:val="SectionNumber"/>
          <w:lang w:val="zh-CN"/>
        </w:rPr>
        <w:t xml:space="preserve">4</w:t>
      </w:r>
      <w:r>
        <w:tab/>
      </w:r>
      <w:r>
        <w:rPr>
          <w:rFonts w:hint="eastAsia"/>
          <w:lang w:val="zh-CN"/>
        </w:rPr>
        <w:t xml:space="preserve">数值实验</w:t>
      </w:r>
      <w:bookmarkEnd w:id="29"/>
    </w:p>
    <w:p>
      <w:pPr>
        <w:pStyle w:val="FirstParagraph"/>
      </w:pPr>
      <w:r>
        <w:rPr>
          <w:rFonts w:hint="eastAsia"/>
          <w:lang w:val="zh-CN"/>
        </w:rPr>
        <w:t xml:space="preserve">以圆柱绕流为算例（</w:t>
      </w:r>
      <m:oMath>
        <m:r>
          <m:rPr>
            <m:sty m:val="p"/>
          </m:rPr>
          <m:t>R</m:t>
        </m:r>
        <m:r>
          <m:rPr>
            <m:sty m:val="p"/>
          </m:rPr>
          <m:t>e</m:t>
        </m:r>
        <m:r>
          <m:rPr>
            <m:sty m:val="p"/>
          </m:rPr>
          <m:t>=</m:t>
        </m:r>
        <m:r>
          <m:t>U</m:t>
        </m:r>
        <m:r>
          <m:t>D</m:t>
        </m:r>
        <m:r>
          <m:rPr>
            <m:sty m:val="p"/>
          </m:rPr>
          <m:t>/</m:t>
        </m:r>
        <m:r>
          <m:t>ν</m:t>
        </m:r>
        <m:r>
          <m:rPr>
            <m:sty m:val="p"/>
          </m:rPr>
          <m:t>=</m:t>
        </m:r>
        <m:r>
          <m:t>3</m:t>
        </m:r>
        <m:r>
          <m:t> </m:t>
        </m:r>
        <m:r>
          <m:t>900</m:t>
        </m:r>
      </m:oMath>
      <w:r>
        <w:rPr>
          <w:rFonts w:hint="eastAsia"/>
          <w:lang w:val="zh-CN"/>
        </w:rPr>
        <w:t xml:space="preserve">），网络为</w:t>
      </w:r>
      <w:r>
        <w:rPr>
          <w:lang w:val="zh-CN"/>
        </w:rPr>
        <w:t xml:space="preserve"> 8 </w:t>
      </w:r>
      <w:r>
        <w:rPr>
          <w:rFonts w:hint="eastAsia"/>
          <w:lang w:val="zh-CN"/>
        </w:rPr>
        <w:t xml:space="preserve">层、每层</w:t>
      </w:r>
      <w:r>
        <w:rPr>
          <w:lang w:val="zh-CN"/>
        </w:rPr>
        <w:t xml:space="preserve"> 128 </w:t>
      </w:r>
      <w:r>
        <w:rPr>
          <w:rFonts w:hint="eastAsia"/>
          <w:lang w:val="zh-CN"/>
        </w:rPr>
        <w:t xml:space="preserve">个神经元</w:t>
      </w:r>
      <w:r>
        <w:rPr>
          <w:rStyle w:val="FootnoteReference"/>
        </w:rPr>
        <w:footnoteReference w:id="18"/>
      </w:r>
      <w:r>
        <w:rPr>
          <w:lang w:val="zh-CN"/>
        </w:rPr>
        <w:t xml:space="preserve">。</w:t>
      </w:r>
    </w:p>
    <w:p>
      <w:pPr>
        <w:pStyle w:val="TableCaption"/>
      </w:pPr>
      <w:bookmarkStart w:id="20" w:name="tbl_cmp"/>
      <w:bookmarkStart w:id="19" w:name="tbl_cmp"/>
      <w:r>
        <w:rPr>
          <w:rFonts w:hint="eastAsia"/>
          <w:lang w:val="zh-CN"/>
        </w:rPr>
        <w:t xml:space="preserve">表</w:t>
      </w:r>
      <w:r>
        <w:rPr>
          <w:lang w:val="zh-CN"/>
        </w:rPr>
        <w:t xml:space="preserve"> </w:t>
      </w:r>
      <w:fldSimple w:instr="SEQ Table \* ARABIC ">
        <w:r>
          <w:t>1</w:t>
        </w:r>
      </w:fldSimple>
      <w:bookmarkEnd w:id="19"/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不同方法的误差与训练成本对比</w:t>
      </w:r>
      <w:bookmarkEnd w:id="20"/>
    </w:p>
    <w:tbl>
      <w:tblPr>
        <w:tblStyle w:val="Table"/>
        <w:tblW w:type="dxa" w:w="7916"/>
        <w:jc w:val="center"/>
        <w:tblBorders>
          <w:top w:val="single" w:sz="12" w:space="0" w:color="000000"/>
          <w:left w:val="nil" w:sz="0" w:space="0" w:color="auto"/>
          <w:bottom w:val="single" w:sz="12" w:space="0" w:color="000000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不同方法的误差与训练成本对比"/>
      </w:tblPr>
      <w:tblGrid>
        <w:gridCol w:w="2788"/>
        <w:gridCol w:w="780"/>
        <w:gridCol w:w="780"/>
        <w:gridCol w:w="780"/>
        <w:gridCol w:w="1338"/>
        <w:gridCol w:w="1450"/>
      </w:tblGrid>
      <w:tr>
        <w:trPr>
          <w:cantSplit/>
          <w:tblHeader w:val="on"/>
        </w:trPr>
        <w:tc>
          <w:tcPr>
            <w:vMerge w:val="restart"/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方法</w:t>
            </w:r>
          </w:p>
        </w:tc>
        <w:tc>
          <w:tcPr>
            <w:gridSpan w:val="3"/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相对</w:t>
            </w:r>
            <w:r>
              <w:rPr>
                <w:b/>
                <w:bCs/>
                <w:color w:val="000000"/>
                <w:lang w:val="zh-CN"/>
              </w:rP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t>2</m:t>
                  </m:r>
                </m:sup>
              </m:sSup>
            </m:oMath>
            <w:r>
              <w:rPr>
                <w:b/>
                <w:bCs/>
                <w:color w:val="000000"/>
                <w:lang w:val="zh-CN"/>
              </w:rPr>
              <w:t xml:space="preserve"> </w:t>
            </w: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误差（</w:t>
            </w:r>
            <m:oMath>
              <m:r>
                <m:rPr>
                  <m:sty m:val="p"/>
                </m:rPr>
                <m:t>×</m:t>
              </m:r>
              <m:sSup>
                <m:e>
                  <m:r>
                    <m:t>10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sup>
              </m:sSup>
            </m:oMath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）</w:t>
            </w:r>
          </w:p>
        </w:tc>
        <w:tc>
          <w:tcPr>
            <w:gridSpan w:val="2"/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训练成本</w:t>
            </w:r>
          </w:p>
        </w:tc>
      </w:tr>
      <w:tr>
        <w:trPr>
          <w:cantSplit/>
          <w:tblHeader w:val="on"/>
        </w:trPr>
        <w:tc>
          <w:tcPr>
            <w:gridSpan w:val="1"/>
            <w:vMerge w:val="continue"/>
            <w:tcBorders>
              <w:bottom w:val="single" w:sz="6" w:space="0" w:color="000000"/>
            </w:tcBorders>
            <w:vAlign w:val="center"/>
          </w:tcPr>
          <w:p>
            <w:pPr/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right"/>
            </w:pPr>
            <m:oMath>
              <m:r>
                <m:t>u</m:t>
              </m:r>
            </m:oMath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right"/>
            </w:pPr>
            <m:oMath>
              <m:r>
                <m:t>v</m:t>
              </m:r>
            </m:oMath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right"/>
            </w:pPr>
            <m:oMath>
              <m:r>
                <m:t>p</m:t>
              </m:r>
            </m:oMath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时间（h）</w:t>
            </w:r>
          </w:p>
        </w:tc>
        <w:tc>
          <w:tcPr>
            <w:tcBorders>
              <w:bottom w:val="single" w:sz="6" w:space="0" w:color="000000"/>
            </w:tcBorders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显存（GB）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PINN</w:t>
            </w:r>
            <w:r>
              <w:rPr>
                <w:vertAlign w:val="superscript"/>
                <w:lang w:val="zh-CN"/>
              </w:rPr>
              <w:t xml:space="preserve">[</w:t>
            </w:r>
            <w:hyperlink w:anchor="ref_raissi2019">
              <w:r>
                <w:rPr>
                  <w:rStyle w:val="Hyperlink"/>
                  <w:vertAlign w:val="superscript"/>
                  <w:lang w:val="zh-CN"/>
                </w:rPr>
                <w:t xml:space="preserve">1</w:t>
              </w:r>
            </w:hyperlink>
            <w:r>
              <w:rPr>
                <w:vertAlign w:val="superscript"/>
                <w:lang w:val="zh-CN"/>
              </w:rPr>
              <w:t xml:space="preserve">]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18.6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24.1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41.7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9.8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6.2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GradNorm-PINN</w:t>
            </w:r>
            <w:r>
              <w:rPr>
                <w:vertAlign w:val="superscript"/>
                <w:lang w:val="zh-CN"/>
              </w:rPr>
              <w:t xml:space="preserve">[</w:t>
            </w:r>
            <w:hyperlink w:anchor="ref_wang2021">
              <w:r>
                <w:rPr>
                  <w:rStyle w:val="Hyperlink"/>
                  <w:vertAlign w:val="superscript"/>
                  <w:lang w:val="zh-CN"/>
                </w:rPr>
                <w:t xml:space="preserve">3</w:t>
              </w:r>
            </w:hyperlink>
            <w:r>
              <w:rPr>
                <w:vertAlign w:val="superscript"/>
                <w:lang w:val="zh-CN"/>
              </w:rPr>
              <w:t xml:space="preserve">]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6.4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8.9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15.2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11.3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6.9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FNO</w:t>
            </w:r>
            <w:r>
              <w:rPr>
                <w:vertAlign w:val="superscript"/>
                <w:lang w:val="zh-CN"/>
              </w:rPr>
              <w:t xml:space="preserve">[</w:t>
            </w:r>
            <w:hyperlink w:anchor="ref_li2021">
              <w:r>
                <w:rPr>
                  <w:rStyle w:val="Hyperlink"/>
                  <w:vertAlign w:val="superscript"/>
                  <w:lang w:val="zh-CN"/>
                </w:rPr>
                <w:t xml:space="preserve">4</w:t>
              </w:r>
            </w:hyperlink>
            <w:r>
              <w:rPr>
                <w:vertAlign w:val="superscript"/>
                <w:lang w:val="zh-CN"/>
              </w:rPr>
              <w:t xml:space="preserve">]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3.1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4.0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7.7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7.6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14.5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lang w:val="zh-CN"/>
              </w:rPr>
              <w:t xml:space="preserve">Attn-PINN（本文）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1.7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2.2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4.9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5.8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7.4</w:t>
            </w:r>
          </w:p>
        </w:tc>
      </w:tr>
    </w:tbl>
    <w:tbl>
      <w:tblPr>
        <w:tblStyle w:val="FigureTable"/>
        <w:tblW w:type="pct" w:w="5000"/>
        <w:jc w:val="center"/>
        <w:tblBorders>
          <w:top w:val="single" w:sz="12" w:space="0" w:color="000000"/>
          <w:left w:val="nil" w:sz="0" w:space="0" w:color="auto"/>
          <w:bottom w:val="single" w:sz="12" w:space="0" w:color="000000"/>
          <w:right w:val="nil" w:sz="0" w:space="0" w:color="auto"/>
          <w:insideH w:val="nil" w:sz="0" w:space="0" w:color="auto"/>
          <w:insideV w:val="nil" w:sz="0" w:space="0" w:color="auto"/>
        </w:tblBorders>
        <w:tblCellMar>
          <w:top w:w="50" w:type="dxa"/>
          <w:left w:w="100" w:type="dxa"/>
          <w:bottom w:w="50" w:type="dxa"/>
          <w:right w:w="100" w:type="dxa"/>
        </w:tblCellMar>
        <w:tblLook w:firstRow="0" w:lastRow="0" w:firstColumn="0" w:lastColumn="0"/>
      </w:tblPr>
      <w:tblGrid>
        <w:gridCol w:w="3960"/>
        <w:gridCol w:w="3960"/>
      </w:tblGrid>
      <w:tr>
        <w:trPr>
          <w:cantSplit/>
        </w:trPr>
        <w:tc>
          <w:tcPr>
            <w:vAlign w:val="center"/>
          </w:tcPr>
          <w:tbl>
            <w:tblPr>
              <w:tblStyle w:val="FigureTable"/>
              <w:tblW w:type="pct" w:w="5000"/>
              <w:jc w:val="center"/>
              <w:tblBorders>
                <w:top w:val="single" w:sz="12" w:space="0" w:color="000000"/>
                <w:left w:val="nil" w:sz="0" w:space="0" w:color="auto"/>
                <w:bottom w:val="single" w:sz="12" w:space="0" w:color="000000"/>
                <w:right w:val="nil" w:sz="0" w:space="0" w:color="auto"/>
                <w:insideH w:val="nil" w:sz="0" w:space="0" w:color="auto"/>
                <w:insideV w:val="nil" w:sz="0" w:space="0" w:color="auto"/>
              </w:tblBorders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firstRow="0" w:lastRow="0" w:firstColumn="0" w:lastColumn="0"/>
            </w:tblPr>
            <w:tblGrid>
              <w:gridCol w:w="7920"/>
            </w:tblGrid>
            <w:tr>
              <w:trPr>
                <w:cantSplit/>
              </w:trPr>
              <w:tc>
                <w:tcPr>
                  <w:vAlign w:val="center"/>
                </w:tcPr>
                <w:p>
                  <w:pPr>
                    <w:pStyle w:val="DFTableText"/>
                    <w:jc w:val="center"/>
                    <w:jc w:val="center"/>
                  </w:pPr>
                  <w:bookmarkStart w:id="28" w:name="fig_result"/>
                  <w:r>
                    <w:drawing>
                      <wp:inline>
                        <wp:extent cx="2819019" cy="1246873"/>
                        <wp:effectExtent b="0" l="0" r="0" t="0"/>
                        <wp:docPr descr="Attn-PINN 预测的涡量场" title="" id="22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/var/folders/bl/5n_h09gn4dsd1gktj5qcv54w0000gn/T/docforge-megapsqz/media-docx/image1.png" id="23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9019" cy="12468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End w:id="28"/>
                </w:p>
                <w:p>
                  <w:pPr>
                    <w:pStyle w:val="DFTableText"/>
                    <w:jc w:val="center"/>
                    <w:jc w:val="center"/>
                  </w:pPr>
                  <w:r>
                    <w:rPr>
                      <w:lang w:val="zh-CN"/>
                    </w:rPr>
                    <w:t xml:space="preserve">(a) Attn-PINN </w:t>
                  </w:r>
                  <w:r>
                    <w:rPr>
                      <w:rFonts w:hint="eastAsia"/>
                      <w:lang w:val="zh-CN"/>
                    </w:rPr>
                    <w:t xml:space="preserve">预测的涡量场</w:t>
                  </w:r>
                </w:p>
              </w:tc>
            </w:tr>
          </w:tbl>
          <w:p/>
        </w:tc>
        <w:tc>
          <w:tcPr>
            <w:vAlign w:val="center"/>
          </w:tcPr>
          <w:tbl>
            <w:tblPr>
              <w:tblStyle w:val="FigureTable"/>
              <w:tblW w:type="pct" w:w="5000"/>
              <w:jc w:val="center"/>
              <w:tblBorders>
                <w:top w:val="single" w:sz="12" w:space="0" w:color="000000"/>
                <w:left w:val="nil" w:sz="0" w:space="0" w:color="auto"/>
                <w:bottom w:val="single" w:sz="12" w:space="0" w:color="000000"/>
                <w:right w:val="nil" w:sz="0" w:space="0" w:color="auto"/>
                <w:insideH w:val="nil" w:sz="0" w:space="0" w:color="auto"/>
                <w:insideV w:val="nil" w:sz="0" w:space="0" w:color="auto"/>
              </w:tblBorders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firstRow="0" w:lastRow="0" w:firstColumn="0" w:lastColumn="0"/>
            </w:tblPr>
            <w:tblGrid>
              <w:gridCol w:w="7920"/>
            </w:tblGrid>
            <w:tr>
              <w:trPr>
                <w:cantSplit/>
              </w:trPr>
              <w:tc>
                <w:tcPr>
                  <w:vAlign w:val="center"/>
                </w:tcPr>
                <w:p>
                  <w:pPr>
                    <w:pStyle w:val="DFTableText"/>
                    <w:jc w:val="center"/>
                    <w:jc w:val="center"/>
                  </w:pPr>
                  <w:r>
                    <w:drawing>
                      <wp:inline>
                        <wp:extent cx="2819019" cy="1246873"/>
                        <wp:effectExtent b="0" l="0" r="0" t="0"/>
                        <wp:docPr descr="损失下降曲线" title="" id="25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/var/folders/bl/5n_h09gn4dsd1gktj5qcv54w0000gn/T/docforge-megapsqz/media-docx/image2.png" id="26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9019" cy="12468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DFTableText"/>
                    <w:jc w:val="center"/>
                    <w:jc w:val="center"/>
                  </w:pPr>
                  <w:r>
                    <w:rPr>
                      <w:lang w:val="zh-CN"/>
                    </w:rPr>
                    <w:t xml:space="preserve">(b) </w:t>
                  </w:r>
                  <w:r>
                    <w:rPr>
                      <w:rFonts w:hint="eastAsia"/>
                      <w:lang w:val="zh-CN"/>
                    </w:rPr>
                    <w:t xml:space="preserve">损失下降曲线</w:t>
                  </w:r>
                </w:p>
              </w:tc>
            </w:tr>
          </w:tbl>
          <w:p/>
        </w:tc>
      </w:tr>
    </w:tbl>
    <w:p>
      <w:pPr>
        <w:pStyle w:val="ImageCaption"/>
      </w:pPr>
      <w:bookmarkStart w:id="27" w:name="ref_fig_result"/>
      <w:r>
        <w:rPr>
          <w:rFonts w:hint="eastAsia"/>
          <w:lang w:val="zh-CN"/>
        </w:rPr>
        <w:t xml:space="preserve">图</w:t>
      </w:r>
      <w:r>
        <w:rPr>
          <w:lang w:val="zh-CN"/>
        </w:rPr>
        <w:t xml:space="preserve"> </w:t>
      </w:r>
      <w:fldSimple w:instr="SEQ Figure \* ARABIC ">
        <w:r>
          <w:t>1</w:t>
        </w:r>
      </w:fldSimple>
      <w:bookmarkEnd w:id="27"/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圆柱绕流的预测结果：Attn-PINN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准确再现了卡门涡街</w:t>
      </w:r>
    </w:p>
    <w:p>
      <w:pPr>
        <w:pStyle w:val="BodyText"/>
      </w:pPr>
      <w:r>
        <w:rPr>
          <w:rFonts w:hint="eastAsia"/>
          <w:lang w:val="zh-CN"/>
        </w:rPr>
        <w:t xml:space="preserve">由</w:t>
      </w:r>
      <w:r>
        <w:rPr>
          <w:lang w:val="zh-CN"/>
        </w:rPr>
        <w:t xml:space="preserve"> </w:t>
      </w:r>
      <w:hyperlink w:anchor="tbl_cmp">
        <w:r>
          <w:rPr>
            <w:rStyle w:val="Hyperlink"/>
            <w:rFonts w:hint="eastAsia"/>
            <w:lang w:val="zh-CN"/>
          </w:rPr>
          <w:t xml:space="preserve">表</w:t>
        </w:r>
        <w:r>
          <w:rPr>
            <w:rStyle w:val="Hyperlink"/>
            <w:lang w:val="zh-CN"/>
          </w:rPr>
          <w:t xml:space="preserve"> 1</w:t>
        </w:r>
      </w:hyperlink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可见，Attn-PINN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在三个物理量上的误差均为最低，且训练时间比基线</w:t>
      </w:r>
      <w:r>
        <w:rPr>
          <w:lang w:val="zh-CN"/>
        </w:rPr>
        <w:t xml:space="preserve"> PINN </w:t>
      </w:r>
      <w:r>
        <w:rPr>
          <w:rFonts w:hint="eastAsia"/>
          <w:lang w:val="zh-CN"/>
        </w:rPr>
        <w:t xml:space="preserve">缩短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41%（</w:t>
      </w:r>
      <w:hyperlink w:anchor="fig_result">
        <w:r>
          <w:rPr>
            <w:rStyle w:val="Hyperlink"/>
            <w:rFonts w:hint="eastAsia"/>
            <w:lang w:val="zh-CN"/>
          </w:rPr>
          <w:t xml:space="preserve">图</w:t>
        </w:r>
        <w:r>
          <w:rPr>
            <w:rStyle w:val="Hyperlink"/>
            <w:lang w:val="zh-CN"/>
          </w:rPr>
          <w:t xml:space="preserve"> 1</w:t>
        </w:r>
      </w:hyperlink>
      <w:r>
        <w:rPr>
          <w:rFonts w:hint="eastAsia"/>
          <w:lang w:val="zh-CN"/>
        </w:rPr>
        <w:t xml:space="preserve">）。</w:t>
      </w:r>
    </w:p>
    <w:p>
      <w:pPr>
        <w:pStyle w:val="Heading1"/>
      </w:pPr>
      <w:bookmarkStart w:id="30" w:name="df_32b3f16d10"/>
      <w:r>
        <w:rPr>
          <w:rStyle w:val="SectionNumber"/>
          <w:lang w:val="zh-CN"/>
        </w:rPr>
        <w:t xml:space="preserve">5</w:t>
      </w:r>
      <w:r>
        <w:tab/>
      </w:r>
      <w:r>
        <w:rPr>
          <w:rFonts w:hint="eastAsia"/>
          <w:lang w:val="zh-CN"/>
        </w:rPr>
        <w:t xml:space="preserve">结论</w:t>
      </w:r>
      <w:bookmarkEnd w:id="30"/>
    </w:p>
    <w:p>
      <w:pPr>
        <w:pStyle w:val="FirstParagraph"/>
      </w:pPr>
      <w:r>
        <w:rPr>
          <w:rFonts w:hint="eastAsia"/>
          <w:lang w:val="zh-CN"/>
        </w:rPr>
        <w:t xml:space="preserve">本文提出的</w:t>
      </w:r>
      <w:r>
        <w:rPr>
          <w:lang w:val="zh-CN"/>
        </w:rPr>
        <w:t xml:space="preserve"> Attn-PINN </w:t>
      </w:r>
      <w:r>
        <w:rPr>
          <w:rFonts w:hint="eastAsia"/>
          <w:lang w:val="zh-CN"/>
        </w:rPr>
        <w:t xml:space="preserve">以注意力机制自适应平衡残差权重，在理论上给出误差上界（</w:t>
      </w:r>
      <w:hyperlink w:anchor="eq_bound">
        <w:r>
          <w:rPr>
            <w:rStyle w:val="Hyperlink"/>
            <w:rFonts w:hint="eastAsia"/>
            <w:lang w:val="zh-CN"/>
          </w:rPr>
          <w:t xml:space="preserve">式(5)</w:t>
        </w:r>
      </w:hyperlink>
      <w:r>
        <w:rPr>
          <w:rFonts w:hint="eastAsia"/>
          <w:lang w:val="zh-CN"/>
        </w:rPr>
        <w:t xml:space="preserve">），在高雷诺数算例中显著优于现有方法。</w:t>
      </w:r>
    </w:p>
    <w:p>
      <w:pPr>
        <w:pStyle w:val="Heading1"/>
      </w:pPr>
      <w:bookmarkStart w:id="40" w:name="df_e1ae4ff6a4"/>
      <w:r>
        <w:rPr>
          <w:rFonts w:hint="eastAsia"/>
          <w:lang w:val="zh-CN"/>
        </w:rPr>
        <w:t xml:space="preserve">参考文献</w:t>
      </w:r>
      <w:bookmarkEnd w:id="40"/>
    </w:p>
    <w:p>
      <w:pPr>
        <w:pStyle w:val="Bibliography"/>
      </w:pPr>
      <w:bookmarkStart w:id="32" w:name="ref_raissi2019"/>
      <w:bookmarkStart w:id="39" w:name="refs"/>
      <w:r>
        <w:rPr>
          <w:lang w:val="zh-CN"/>
        </w:rPr>
        <w:t xml:space="preserve">[1]</w:t>
      </w:r>
      <w:r>
        <w:rPr>
          <w:lang w:val="zh-CN"/>
        </w:rPr>
        <w:t xml:space="preserve"> </w:t>
      </w:r>
      <w:r>
        <w:t xml:space="preserve">	</w:t>
      </w:r>
      <w:r>
        <w:rPr>
          <w:lang w:val="zh-CN"/>
        </w:rPr>
        <w:t xml:space="preserve">RAISSI M, PERDIKARIS P, KARNIADAKIS G E. Physics-informed neural networks: A deep learning framework for solving forward and inverse problems involving nonlinear partial differential equations[J/OL]. Journal of Computational Physics, 2019, 378: 686-707. DOI:</w:t>
      </w:r>
      <w:hyperlink r:id="rId31">
        <w:r>
          <w:rPr>
            <w:rStyle w:val="Hyperlink"/>
            <w:lang w:val="zh-CN"/>
          </w:rPr>
          <w:t xml:space="preserve">10.1016/j.jcp.2018.10.045</w:t>
        </w:r>
      </w:hyperlink>
      <w:r>
        <w:rPr>
          <w:lang w:val="zh-CN"/>
        </w:rPr>
        <w:t xml:space="preserve">.</w:t>
      </w:r>
      <w:bookmarkEnd w:id="39"/>
      <w:bookmarkEnd w:id="32"/>
    </w:p>
    <w:p>
      <w:pPr>
        <w:pStyle w:val="Bibliography"/>
      </w:pPr>
      <w:bookmarkStart w:id="34" w:name="ref_karniadakis2021"/>
      <w:r>
        <w:rPr>
          <w:lang w:val="zh-CN"/>
        </w:rPr>
        <w:t xml:space="preserve">[2]</w:t>
      </w:r>
      <w:r>
        <w:rPr>
          <w:lang w:val="zh-CN"/>
        </w:rPr>
        <w:t xml:space="preserve"> </w:t>
      </w:r>
      <w:r>
        <w:t xml:space="preserve">	</w:t>
      </w:r>
      <w:r>
        <w:rPr>
          <w:lang w:val="zh-CN"/>
        </w:rPr>
        <w:t xml:space="preserve">KARNIADAKIS G E, KEVREKIDIS I G, LU L, </w:t>
      </w:r>
      <w:r>
        <w:rPr>
          <w:rFonts w:hint="eastAsia"/>
          <w:lang w:val="zh-CN"/>
        </w:rPr>
        <w:t xml:space="preserve">等.</w:t>
      </w:r>
      <w:r>
        <w:rPr>
          <w:lang w:val="zh-CN"/>
        </w:rPr>
        <w:t xml:space="preserve"> Physics-informed machine learning[J/OL]. Nature Reviews Physics, 2021, 3(6): 422-440. DOI:</w:t>
      </w:r>
      <w:hyperlink r:id="rId33">
        <w:r>
          <w:rPr>
            <w:rStyle w:val="Hyperlink"/>
            <w:lang w:val="zh-CN"/>
          </w:rPr>
          <w:t xml:space="preserve">10.1038/s42254-021-00314-5</w:t>
        </w:r>
      </w:hyperlink>
      <w:r>
        <w:rPr>
          <w:lang w:val="zh-CN"/>
        </w:rPr>
        <w:t xml:space="preserve">.</w:t>
      </w:r>
      <w:bookmarkEnd w:id="34"/>
    </w:p>
    <w:p>
      <w:pPr>
        <w:pStyle w:val="Bibliography"/>
      </w:pPr>
      <w:bookmarkStart w:id="36" w:name="ref_wang2021"/>
      <w:r>
        <w:rPr>
          <w:lang w:val="zh-CN"/>
        </w:rPr>
        <w:t xml:space="preserve">[3]</w:t>
      </w:r>
      <w:r>
        <w:rPr>
          <w:lang w:val="zh-CN"/>
        </w:rPr>
        <w:t xml:space="preserve"> </w:t>
      </w:r>
      <w:r>
        <w:t xml:space="preserve">	</w:t>
      </w:r>
      <w:r>
        <w:rPr>
          <w:lang w:val="zh-CN"/>
        </w:rPr>
        <w:t xml:space="preserve">WANG S, TENG Y, PERDIKARIS P. Understanding and mitigating gradient flow pathologies in physics-informed neural networks[J/OL]. SIAM Journal on Scientific Computing, 2021, 43(5): A3055-A3081. DOI:</w:t>
      </w:r>
      <w:hyperlink r:id="rId35">
        <w:r>
          <w:rPr>
            <w:rStyle w:val="Hyperlink"/>
            <w:lang w:val="zh-CN"/>
          </w:rPr>
          <w:t xml:space="preserve">10.1137/20M1318043</w:t>
        </w:r>
      </w:hyperlink>
      <w:r>
        <w:rPr>
          <w:lang w:val="zh-CN"/>
        </w:rPr>
        <w:t xml:space="preserve">.</w:t>
      </w:r>
      <w:bookmarkEnd w:id="36"/>
    </w:p>
    <w:p>
      <w:pPr>
        <w:pStyle w:val="Bibliography"/>
      </w:pPr>
      <w:bookmarkStart w:id="37" w:name="ref_li2021"/>
      <w:r>
        <w:rPr>
          <w:lang w:val="zh-CN"/>
        </w:rPr>
        <w:t xml:space="preserve">[4]</w:t>
      </w:r>
      <w:r>
        <w:rPr>
          <w:lang w:val="zh-CN"/>
        </w:rPr>
        <w:t xml:space="preserve"> </w:t>
      </w:r>
      <w:r>
        <w:t xml:space="preserve">	</w:t>
      </w:r>
      <w:r>
        <w:rPr>
          <w:lang w:val="zh-CN"/>
        </w:rPr>
        <w:t xml:space="preserve">LI Z, KOVACHKI N, AZIZZADENESHELI K, </w:t>
      </w:r>
      <w:r>
        <w:rPr>
          <w:rFonts w:hint="eastAsia"/>
          <w:lang w:val="zh-CN"/>
        </w:rPr>
        <w:t xml:space="preserve">等.</w:t>
      </w:r>
      <w:r>
        <w:rPr>
          <w:lang w:val="zh-CN"/>
        </w:rPr>
        <w:t xml:space="preserve"> Fourier neural operator for parametric partial differential equations[C]//International Conference on Learning Representations. 2021.</w:t>
      </w:r>
      <w:bookmarkEnd w:id="37"/>
    </w:p>
    <w:p>
      <w:pPr>
        <w:pStyle w:val="Bibliography"/>
      </w:pPr>
      <w:bookmarkStart w:id="38" w:name="ref_vaswani2017"/>
      <w:r>
        <w:rPr>
          <w:lang w:val="zh-CN"/>
        </w:rPr>
        <w:t xml:space="preserve">[5]</w:t>
      </w:r>
      <w:r>
        <w:rPr>
          <w:lang w:val="zh-CN"/>
        </w:rPr>
        <w:t xml:space="preserve"> </w:t>
      </w:r>
      <w:r>
        <w:t xml:space="preserve">	</w:t>
      </w:r>
      <w:r>
        <w:rPr>
          <w:lang w:val="zh-CN"/>
        </w:rPr>
        <w:t xml:space="preserve">VASWANI A, SHAZEER N, PARMAR N, </w:t>
      </w:r>
      <w:r>
        <w:rPr>
          <w:rFonts w:hint="eastAsia"/>
          <w:lang w:val="zh-CN"/>
        </w:rPr>
        <w:t xml:space="preserve">等.</w:t>
      </w:r>
      <w:r>
        <w:rPr>
          <w:lang w:val="zh-CN"/>
        </w:rPr>
        <w:t xml:space="preserve"> Attention is all you need[C]//Advances in Neural Information Processing Systems. 2017: 5998-6008.</w:t>
      </w:r>
      <w:bookmarkEnd w:id="38"/>
    </w:p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t xml:space="preserve">第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页  共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页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激活函数为</w:t>
      </w:r>
      <w:r>
        <w:rPr>
          <w:lang w:val="zh-CN"/>
        </w:rPr>
        <w:t xml:space="preserve"> </w:t>
      </w:r>
      <m:oMath>
        <m:r>
          <m:rPr>
            <m:sty m:val="p"/>
          </m:rPr>
          <m:t>tanh</m:t>
        </m:r>
      </m:oMath>
      <w:r>
        <w:rPr>
          <w:rFonts w:hint="eastAsia"/>
          <w:lang w:val="zh-CN"/>
        </w:rPr>
        <w:t xml:space="preserve">，优化器为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Adam，</w:t>
      </w:r>
      <m:oMath>
        <m:sSub>
          <m:e>
            <m:r>
              <m:t>η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rPr>
          <w:rFonts w:hint="eastAsia"/>
          <w:lang w:val="zh-CN"/>
        </w:rPr>
        <w:t xml:space="preserve">，</w:t>
      </w:r>
      <m:oMath>
        <m:sSub>
          <m:e>
            <m:r>
              <m:t>k</m:t>
            </m:r>
          </m:e>
          <m:sub>
            <m:r>
              <m:t>w</m:t>
            </m:r>
          </m:sub>
        </m:sSub>
        <m:r>
          <m:rPr>
            <m:sty m:val="p"/>
          </m:rPr>
          <m:t>=</m:t>
        </m:r>
        <m:r>
          <m:t>2</m:t>
        </m:r>
        <m:r>
          <m:t> </m:t>
        </m:r>
        <m:r>
          <m:t>000</m:t>
        </m:r>
      </m:oMath>
      <w:r>
        <w:rPr>
          <w:rFonts w:hint="eastAsia"/>
          <w:lang w:val="zh-CN"/>
        </w:rPr>
        <w:t xml:space="preserve">，</w:t>
      </w:r>
      <m:oMath>
        <m:r>
          <m:t>K</m:t>
        </m:r>
        <m:r>
          <m:rPr>
            <m:sty m:val="p"/>
          </m:rPr>
          <m:t>=</m:t>
        </m:r>
        <m:r>
          <m:t>20</m:t>
        </m:r>
        <m:r>
          <m:t> </m:t>
        </m:r>
        <m:r>
          <m:t>000</m:t>
        </m:r>
      </m:oMath>
      <w:r>
        <w:rPr>
          <w:lang w:val="zh-CN"/>
        </w:rPr>
        <w:t xml:space="preserve">。</w:t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1A1A1A"/>
      </w:pBdr>
      <w:tabs>
        <w:tab w:val="right" w:pos="9071"/>
      </w:tabs>
      <w:spacing w:after="0"/>
      <w:jc w:val="left"/>
    </w:pPr>
    <w:r>
      <w:rPr>
        <w:color w:val="6B7280"/>
        <w:sz w:val="18"/>
        <w:szCs w:val="18"/>
      </w:rPr>
      <w:t xml:space="preserve">基于注意力机制的物理信息神经网络求解非定常 Navier–Stokes 方程</w:t>
    </w:r>
    <w:r>
      <w:rPr>
        <w:color w:val="6B7280"/>
        <w:sz w:val="18"/>
        <w:szCs w:val="18"/>
      </w:rPr>
      <w:tab/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 xml:space="preserve"> STYLEREF "heading 1" \* MERGEFORMAT </w:instrText>
    </w:r>
    <w:r>
      <w:rPr>
        <w:color w:val="6B7280"/>
        <w:sz w:val="18"/>
        <w:szCs w:val="18"/>
      </w:rPr>
      <w:fldChar w:fldCharType="separate"/>
    </w:r>
    <w:r>
      <w:rPr>
        <w:color w:val="6B7280"/>
        <w:sz w:val="18"/>
        <w:szCs w:val="18"/>
      </w:rPr>
      <w:t/>
    </w:r>
    <w:r>
      <w:rPr>
        <w:color w:val="6B7280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35" w:lineRule="atLeast"/>
      <w:jc w:val="both"/>
    </w:pPr>
    <w:rPr>
      <w:rFonts w:ascii="Times New Roman" w:cs="Times New Roman" w:eastAsia="宋体" w:hAnsi="Times New Roman" w:hint="eastAsia"/>
      <w:color w:val="222222"/>
      <w:kern w:val="0"/>
      <w:sz w:val="24"/>
      <w:szCs w:val="24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  <w:ind w:firstLine="420" w:firstLineChars="20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黑体" w:hAnsi="Arial" w:hint="eastAsia"/>
      <w:b/>
      <w:bCs/>
      <w:color w:val="000000"/>
      <w:sz w:val="44"/>
      <w:szCs w:val="44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黑体" w:hAnsi="Arial" w:hint="eastAsia"/>
      <w:color w:val="6B7280"/>
      <w:sz w:val="30"/>
      <w:szCs w:val="3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000000" w:space="8" w:sz="8" w:val="single"/>
      </w:pBdr>
      <w:spacing w:after="240"/>
      <w:jc w:val="center"/>
    </w:pPr>
    <w:rPr>
      <w:color w:val="6B7280"/>
      <w:sz w:val="22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黑体" w:hAnsi="Arial" w:hint="eastAsia"/>
      <w:b/>
      <w:color w:val="000000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3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left"/>
      <w:outlineLvl w:val="0"/>
    </w:pPr>
    <w:rPr>
      <w:rFonts w:ascii="Arial" w:cs="Arial" w:eastAsia="黑体" w:hAnsi="Arial" w:hint="eastAsia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黑体" w:hAnsi="Arial" w:hint="eastAsia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黑体" w:hAnsi="Arial" w:hint="eastAsia"/>
      <w:b/>
      <w:bCs/>
      <w:color w:val="000000"/>
      <w:sz w:val="26"/>
      <w:szCs w:val="26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黑体" w:hAnsi="Arial" w:hint="eastAsia"/>
      <w:b/>
      <w:bCs/>
      <w:color w:val="222222"/>
      <w:sz w:val="24"/>
      <w:szCs w:val="24"/>
    </w:rPr>
  </w:style>
  <w:style w:customStyle="1" w:styleId="Heading1Char" w:type="character">
    <w:name w:val="Heading 1 Char"/>
    <w:rPr>
      <w:rFonts w:ascii="Arial" w:cs="Arial" w:eastAsia="黑体" w:hAnsi="Arial" w:hint="eastAsia"/>
      <w:b/>
      <w:bCs/>
      <w:color w:val="000000"/>
      <w:sz w:val="32"/>
    </w:rPr>
  </w:style>
  <w:style w:customStyle="1" w:styleId="Heading2Char" w:type="character">
    <w:name w:val="Heading 2 Char"/>
    <w:rPr>
      <w:rFonts w:ascii="Arial" w:cs="Arial" w:eastAsia="黑体" w:hAnsi="Arial" w:hint="eastAsia"/>
      <w:b/>
      <w:bCs/>
      <w:color w:val="000000"/>
      <w:sz w:val="28"/>
    </w:rPr>
  </w:style>
  <w:style w:customStyle="1" w:styleId="Heading3Char" w:type="character">
    <w:name w:val="Heading 3 Char"/>
    <w:rPr>
      <w:rFonts w:ascii="Arial" w:cs="Arial" w:eastAsia="黑体" w:hAnsi="Arial" w:hint="eastAsia"/>
      <w:b/>
      <w:bCs/>
      <w:color w:val="000000"/>
      <w:sz w:val="26"/>
    </w:rPr>
  </w:style>
  <w:style w:customStyle="1" w:styleId="Heading4Char" w:type="character">
    <w:name w:val="Heading 4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5Char" w:type="character">
    <w:name w:val="Heading 5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6Char" w:type="character">
    <w:name w:val="Heading 6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7Char" w:type="character">
    <w:name w:val="Heading 7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8Char" w:type="character">
    <w:name w:val="Heading 8 Char"/>
    <w:rPr>
      <w:rFonts w:ascii="Arial" w:cs="Arial" w:eastAsia="黑体" w:hAnsi="Arial" w:hint="eastAsia"/>
      <w:b/>
      <w:bCs/>
      <w:color w:val="222222"/>
      <w:sz w:val="24"/>
    </w:rPr>
  </w:style>
  <w:style w:customStyle="1" w:styleId="Heading9Char" w:type="character">
    <w:name w:val="Heading 9 Char"/>
    <w:rPr>
      <w:rFonts w:ascii="Arial" w:cs="Arial" w:eastAsia="黑体" w:hAnsi="Arial" w:hint="eastAsia"/>
      <w:b/>
      <w:bCs/>
      <w:color w:val="222222"/>
      <w:sz w:val="24"/>
    </w:rPr>
  </w:style>
  <w:style w:styleId="BlockText" w:type="paragraph">
    <w:name w:val="Block Text"/>
    <w:basedOn w:val="BodyText"/>
    <w:next w:val="BodyText"/>
    <w:qFormat/>
    <w:pPr>
      <w:pBdr>
        <w:left w:color="000000" w:space="8" w:sz="18" w:val="single"/>
      </w:pBdr>
      <w:shd w:color="auto" w:fill="E0E0E0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20"/>
      <w:szCs w:val="20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黑体" w:hAnsi="Arial" w:hint="eastAsia"/>
      <w:b/>
      <w:color w:val="000000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21"/>
      <w:szCs w:val="21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2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333333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408" w:lineRule="atLeast"/>
    </w:pPr>
    <w:rPr>
      <w:sz w:val="22"/>
      <w:szCs w:val="22"/>
    </w:rPr>
  </w:style>
  <w:style w:customStyle="1" w:styleId="SourceCode" w:type="paragraph">
    <w:name w:val="Source Code"/>
    <w:basedOn w:val="Normal"/>
    <w:qFormat/>
    <w:pPr>
      <w:pBdr>
        <w:top w:color="000000" w:space="4" w:sz="4" w:val="single"/>
        <w:left w:color="000000" w:space="4" w:sz="4" w:val="single"/>
        <w:bottom w:color="000000" w:space="4" w:sz="4" w:val="single"/>
        <w:right w:color="000000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21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pBdr>
        <w:left w:val="single" w:sz="24" w:space="10" w:color="000000"/>
      </w:pBdr>
      <w:shd w:val="clear" w:color="auto" w:fill="EDEDED"/>
      <w:spacing w:before="0" w:after="0" w:line="360" w:lineRule="auto"/>
      <w:ind w:left="240" w:right="120" w:firstLine="0" w:firstLineChars="0"/>
    </w:pPr>
  </w:style>
  <w:style w:type="paragraph" w:customStyle="1" w:styleId="DFPara2">
    <w:name w:val="DF Para 2"/>
    <w:basedOn w:val="BodyText"/>
    <w:qFormat/>
    <w:pPr>
      <w:keepNext/>
      <w:pBdr>
        <w:left w:val="single" w:sz="24" w:space="10" w:color="000000"/>
      </w:pBdr>
      <w:shd w:val="clear" w:color="auto" w:fill="EDEDED"/>
      <w:spacing w:before="160" w:after="0"/>
      <w:ind w:left="240" w:right="120" w:firstLine="0" w:firstLineChars="0"/>
      <w:jc w:val="left"/>
    </w:pPr>
    <w:rPr>
      <w:rFonts w:ascii="Arial" w:hAnsi="Arial" w:eastAsia="黑体" w:cs="Arial" w:hint="eastAsia"/>
      <w:b/>
      <w:color w:val="000000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31" Target="https://doi.org/10.1016/j.jcp.2018.10.045" TargetMode="External" /><Relationship Type="http://schemas.openxmlformats.org/officeDocument/2006/relationships/hyperlink" Id="rId33" Target="https://doi.org/10.1038/s42254-021-00314-5" TargetMode="External" /><Relationship Type="http://schemas.openxmlformats.org/officeDocument/2006/relationships/hyperlink" Id="rId35" Target="https://doi.org/10.1137/20M1318043" TargetMode="External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s://doi.org/10.1016/j.jcp.2018.10.045" TargetMode="External" /><Relationship Type="http://schemas.openxmlformats.org/officeDocument/2006/relationships/hyperlink" Id="rId33" Target="https://doi.org/10.1038/s42254-021-00314-5" TargetMode="External" /><Relationship Type="http://schemas.openxmlformats.org/officeDocument/2006/relationships/hyperlink" Id="rId35" Target="https://doi.org/10.1137/20M13180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基于注意力机制的物理信息神经网络求解非定常 Navier–Stokes 方程</dc:title>
  <dc:creator>王明1　李华1,2　陈思远2</dc:creator>
  <dc:language>zh-CN</dc:language>
  <cp:keywords/>
  <dcterms:created xsi:type="dcterms:W3CDTF">2026-11-02T05:42:19Z</dcterms:created>
  <dcterms:modified xsi:type="dcterms:W3CDTF">2026-11-02T05:42:19Z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物理信息神经网络（PINN）在高雷诺数非定常流动中常因各损失项梯度失衡而难以收敛。本文提出一种以注意力机制自适应分配残差权重的 PINN 框架（Attn-PINN），并证明了其逼近误差的上界。在圆柱绕流（\mathrm{Re}=3\,900）算例中，Attn-PINN 的相对 L^2 误差降至 1.7\times10^{-3}，较基线降低 一个数量级，训练时间缩短 41%。</vt:lpwstr>
  </property>
  <property fmtid="{D5CDD505-2E9C-101B-9397-08002B2CF9AE}" pid="3" name="abstract-title">
    <vt:lpwstr>摘要</vt:lpwstr>
  </property>
  <property fmtid="{D5CDD505-2E9C-101B-9397-08002B2CF9AE}" pid="4" name="bibliography">
    <vt:lpwstr/>
  </property>
  <property fmtid="{D5CDD505-2E9C-101B-9397-08002B2CF9AE}" pid="5" name="csl">
    <vt:lpwstr>/Users/arthur/business-os/md-to-pdf-word/src/docforge/assets/csl/gb-t-7714-2015-numeric.csl</vt:lpwstr>
  </property>
  <property fmtid="{D5CDD505-2E9C-101B-9397-08002B2CF9AE}" pid="6" name="date">
    <vt:lpwstr>2026 年 9 月</vt:lpwstr>
  </property>
  <property fmtid="{D5CDD505-2E9C-101B-9397-08002B2CF9AE}" pid="7" name="link-citations">
    <vt:lpwstr>True</vt:lpwstr>
  </property>
  <property fmtid="{D5CDD505-2E9C-101B-9397-08002B2CF9AE}" pid="8" name="number-sections">
    <vt:lpwstr>True</vt:lpwstr>
  </property>
</Properties>
</file>