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0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Q3 2026 Business Review</w:t>
      </w:r>
    </w:p>
    <w:p>
      <w:pPr>
        <w:pStyle w:val="Subtitle"/>
      </w:pPr>
      <w:r>
        <w:rPr>
          <w:lang w:val="en-US"/>
        </w:rPr>
        <w:t xml:space="preserve">Northwind Technologies · Board quarterly report</w:t>
      </w:r>
    </w:p>
    <w:p>
      <w:pPr>
        <w:pStyle w:val="Author"/>
      </w:pPr>
      <w:r>
        <w:rPr>
          <w:lang w:val="en-US"/>
        </w:rPr>
        <w:t xml:space="preserve">Business Operations · Finance</w:t>
      </w:r>
    </w:p>
    <w:p>
      <w:pPr>
        <w:pStyle w:val="Date"/>
      </w:pPr>
      <w:r>
        <w:rPr>
          <w:lang w:val="en-US"/>
        </w:rPr>
        <w:t xml:space="preserve">October 15, 2026</w:t>
      </w:r>
    </w:p>
    <w:p>
      <w:pPr>
        <w:pStyle w:val="Heading1"/>
      </w:pPr>
      <w:bookmarkStart w:id="17" w:name="sec_kpi"/>
      <w:r>
        <w:rPr>
          <w:rStyle w:val="SectionNumber"/>
          <w:lang w:val="en-US"/>
        </w:rPr>
        <w:t xml:space="preserve">1</w:t>
      </w:r>
      <w:r>
        <w:tab/>
      </w:r>
      <w:r>
        <w:rPr>
          <w:lang w:val="en-US"/>
        </w:rPr>
        <w:t xml:space="preserve">Key figures</w:t>
      </w:r>
      <w:bookmarkEnd w:id="17"/>
    </w:p>
    <w:p>
      <w:pPr>
        <w:pStyle w:val="FirstParagraph"/>
      </w:pPr>
      <w:r>
        <w:rPr>
          <w:lang w:val="en-US"/>
        </w:rPr>
        <w:t xml:space="preserve">The group booked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USD 68.0 million</w:t>
      </w:r>
      <w:r>
        <w:rPr>
          <w:lang w:val="en-US"/>
        </w:rPr>
        <w:t xml:space="preserve"> </w:t>
      </w:r>
      <w:r>
        <w:rPr>
          <w:lang w:val="en-US"/>
        </w:rPr>
        <w:t xml:space="preserve">in revenue in Q3, up</w:t>
      </w:r>
      <w:r>
        <w:rPr>
          <w:lang w:val="en-US"/>
        </w:rPr>
        <w:t xml:space="preserve"> </w:t>
      </w:r>
      <w:r>
        <w:rPr>
          <w:rStyle w:val="DFChar5"/>
          <w:lang w:val="en-US"/>
        </w:rPr>
        <w:t xml:space="preserve">▲ 18.4%</w:t>
      </w:r>
      <w:r>
        <w:rPr>
          <w:lang w:val="en-US"/>
        </w:rPr>
        <w:t xml:space="preserve"> </w:t>
      </w:r>
      <w:r>
        <w:rPr>
          <w:lang w:val="en-US"/>
        </w:rPr>
        <w:t xml:space="preserve">year on year — the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sixth</w:t>
      </w:r>
      <w:r>
        <w:rPr>
          <w:lang w:val="en-US"/>
        </w:rPr>
        <w:t xml:space="preserve"> </w:t>
      </w:r>
      <w:r>
        <w:rPr>
          <w:lang w:val="en-US"/>
        </w:rPr>
        <w:t xml:space="preserve">quarter in a row of double-digit growth. Gross margin reached</w:t>
      </w:r>
      <w:r>
        <w:rPr>
          <w:lang w:val="en-US"/>
        </w:rPr>
        <w:t xml:space="preserve"> </w:t>
      </w:r>
      <w:r>
        <w:rPr>
          <w:rStyle w:val="DFChar6"/>
          <w:lang w:val="en-US"/>
        </w:rPr>
        <w:t xml:space="preserve">32.7%</w:t>
      </w:r>
      <w:r>
        <w:rPr>
          <w:lang w:val="en-US"/>
        </w:rPr>
        <w:t xml:space="preserve">, a record since the IPO. Operating cash flow exceeded net profit for the first time;</w:t>
      </w:r>
      <w:r>
        <w:rPr>
          <w:lang w:val="en-US"/>
        </w:rPr>
        <w:t xml:space="preserve"> </w:t>
      </w:r>
      <w:r>
        <w:rPr>
          <w:u w:val="single"/>
          <w:lang w:val="en-US"/>
        </w:rPr>
        <w:t xml:space="preserve">days sales outstanding</w:t>
      </w:r>
      <w:r>
        <w:rPr>
          <w:lang w:val="en-US"/>
        </w:rPr>
        <w:t xml:space="preserve"> </w:t>
      </w:r>
      <w:r>
        <w:rPr>
          <w:lang w:val="en-US"/>
        </w:rPr>
        <w:t xml:space="preserve">remain above target and are a priority for Q4</w:t>
      </w:r>
      <w:r>
        <w:rPr>
          <w:rStyle w:val="FootnoteReference"/>
        </w:rPr>
        <w:footnoteReference w:id="9"/>
      </w:r>
      <w:r>
        <w:rPr>
          <w:lang w:val="en-US"/>
        </w:rPr>
        <w:t xml:space="preserve">.</w:t>
      </w:r>
    </w:p>
    <w:p>
      <w:pPr>
        <w:pStyle w:val="CaptionedFigure"/>
      </w:pPr>
      <w:bookmarkStart w:id="14" w:name="fig_dash"/>
      <w:r>
        <w:drawing>
          <wp:inline>
            <wp:extent cx="5753100" cy="3835400"/>
            <wp:effectExtent b="0" l="0" r="0" t="0"/>
            <wp:docPr descr="Q3 dashboard: (a) monthly revenue by product line and gross margin; (b) revenue mix; (c) growth by region; (d) net profit bridge" title="" id="11" name="Picture"/>
            <a:graphic>
              <a:graphicData uri="http://schemas.openxmlformats.org/drawingml/2006/picture">
                <pic:pic>
                  <pic:nvPicPr>
                    <pic:cNvPr descr="/var/folders/bl/5n_h09gn4dsd1gktj5qcv54w0000gn/T/docforge-g6k15u4w/media-docx/image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4"/>
    </w:p>
    <w:p>
      <w:pPr>
        <w:pStyle w:val="ImageCaption"/>
      </w:pPr>
      <w:bookmarkStart w:id="13" w:name="ref_fig_dash"/>
      <w:r>
        <w:rPr>
          <w:lang w:val="en-US"/>
        </w:rPr>
        <w:t xml:space="preserve">Figure </w:t>
      </w:r>
      <w:fldSimple w:instr="SEQ Figure \* ARABIC ">
        <w:r>
          <w:t>1</w:t>
        </w:r>
      </w:fldSimple>
      <w:bookmarkEnd w:id="13"/>
      <w:r>
        <w:rPr>
          <w:lang w:val="en-US"/>
        </w:rPr>
        <w:t xml:space="preserve">. Q3 dashboard: (a) monthly revenue by product line and gross margin; (b) revenue mix; (c) growth by region; (d) net profit bridge</w:t>
      </w:r>
    </w:p>
    <w:p>
      <w:pPr>
        <w:pStyle w:val="TableCaption"/>
      </w:pPr>
      <w:bookmarkStart w:id="16" w:name="tbl_kpi"/>
      <w:bookmarkStart w:id="15" w:name="tbl_kpi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15"/>
      <w:r>
        <w:rPr>
          <w:lang w:val="en-US"/>
        </w:rPr>
        <w:t xml:space="preserve">. Key figures against budget, Q3 2026</w:t>
      </w:r>
      <w:bookmarkEnd w:id="16"/>
    </w:p>
    <w:tbl>
      <w:tblPr>
        <w:tblStyle w:val="Table"/>
        <w:tblW w:type="dxa" w:w="7916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Key figures against budget, Q3 2026"/>
      </w:tblPr>
      <w:tblGrid>
        <w:gridCol w:w="913"/>
        <w:gridCol w:w="1624"/>
        <w:gridCol w:w="913"/>
        <w:gridCol w:w="913"/>
        <w:gridCol w:w="1218"/>
        <w:gridCol w:w="1015"/>
        <w:gridCol w:w="1320"/>
      </w:tblGrid>
      <w:tr>
        <w:trPr>
          <w:cantSplit/>
          <w:tblHeader w:val="on"/>
        </w:trPr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Area</w:t>
            </w:r>
          </w:p>
        </w:tc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Measure</w:t>
            </w:r>
          </w:p>
        </w:tc>
        <w:tc>
          <w:tcPr>
            <w:gridSpan w:val="3"/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b/>
                <w:bCs/>
                <w:color w:val="FFFFFF"/>
                <w:lang w:val="en-US"/>
              </w:rPr>
              <w:t xml:space="preserve">Q3 2026</w:t>
            </w:r>
          </w:p>
        </w:tc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y/y</w:t>
            </w:r>
          </w:p>
        </w:tc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Status</w:t>
            </w:r>
          </w:p>
        </w:tc>
      </w:tr>
      <w:tr>
        <w:trPr>
          <w:cantSplit/>
          <w:tblHeader w:val="on"/>
        </w:trPr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Actual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Budget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vs budget</w:t>
            </w:r>
          </w:p>
        </w:tc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</w:tr>
      <w:tr>
        <w:trPr>
          <w:cantSplit/>
        </w:trPr>
        <w:tc>
          <w:tcPr>
            <w:vMerge w:val="restart"/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n-US"/>
              </w:rPr>
              <w:t xml:space="preserve">Scale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Revenue (USD m)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68.0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64.4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105.7%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en-US"/>
              </w:rPr>
              <w:t xml:space="preserve">+18.4%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Style w:val="DFChar7"/>
                <w:lang w:val="en-US"/>
              </w:rPr>
              <w:t xml:space="preserve">● Ahead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3F6FA"/>
            <w:vAlign w:val="center"/>
          </w:tcPr>
          <w:p>
            <w:pPr/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New contracts (USD m)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85.7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77.0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111.3%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en-US"/>
              </w:rPr>
              <w:t xml:space="preserve">+26.1%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Style w:val="DFChar7"/>
                <w:lang w:val="en-US"/>
              </w:rPr>
              <w:t xml:space="preserve">● Ahead</w:t>
            </w:r>
          </w:p>
        </w:tc>
      </w:tr>
      <w:tr>
        <w:trPr>
          <w:cantSplit/>
        </w:trPr>
        <w:tc>
          <w:tcPr>
            <w:vMerge w:val="restart"/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n-US"/>
              </w:rPr>
              <w:t xml:space="preserve">Profit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Gross margin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32.7%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31.5%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+1.2 pt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en-US"/>
              </w:rPr>
              <w:t xml:space="preserve">+1.9 pt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Style w:val="DFChar7"/>
                <w:lang w:val="en-US"/>
              </w:rPr>
              <w:t xml:space="preserve">● Ahead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3F6FA"/>
            <w:vAlign w:val="center"/>
          </w:tcPr>
          <w:p>
            <w:pPr/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Net profit (USD m)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8.7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8.4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103.3%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en-US"/>
              </w:rPr>
              <w:t xml:space="preserve">+21.6%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Style w:val="DFChar7"/>
                <w:lang w:val="en-US"/>
              </w:rPr>
              <w:t xml:space="preserve">● On track</w:t>
            </w:r>
          </w:p>
        </w:tc>
      </w:tr>
      <w:tr>
        <w:trPr>
          <w:cantSplit/>
        </w:trPr>
        <w:tc>
          <w:tcPr>
            <w:vMerge w:val="restart"/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n-US"/>
              </w:rPr>
              <w:t xml:space="preserve">Cash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Operating cash flow (USD m)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9.9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7.7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129.1%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en-US"/>
              </w:rPr>
              <w:t xml:space="preserve">+48.0%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Style w:val="DFChar7"/>
                <w:lang w:val="en-US"/>
              </w:rPr>
              <w:t xml:space="preserve">● Ahead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3F6FA"/>
            <w:vAlign w:val="center"/>
          </w:tcPr>
          <w:p>
            <w:pPr/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Days sales outstanding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96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85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−11 days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8"/>
                <w:lang w:val="en-US"/>
              </w:rPr>
              <w:t xml:space="preserve">+7 days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Style w:val="DFChar9"/>
                <w:lang w:val="en-US"/>
              </w:rPr>
              <w:t xml:space="preserve">▲ Watch</w:t>
            </w:r>
          </w:p>
        </w:tc>
      </w:tr>
    </w:tbl>
    <w:p>
      <w:pPr>
        <w:pStyle w:val="DFPara2"/>
      </w:pPr>
      <w:r>
        <w:rPr>
          <w:b/>
          <w:bCs/>
          <w:lang w:val="en-US"/>
        </w:rPr>
        <w:t xml:space="preserve">Important</w:t>
      </w:r>
    </w:p>
    <w:p>
      <w:pPr>
        <w:pStyle w:val="DFPara1"/>
      </w:pPr>
      <w:r>
        <w:rPr>
          <w:lang w:val="en-US"/>
        </w:rPr>
        <w:t xml:space="preserve">Cloud now makes up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31.4%</w:t>
      </w:r>
      <w:r>
        <w:rPr>
          <w:lang w:val="en-US"/>
        </w:rPr>
        <w:t xml:space="preserve"> </w:t>
      </w:r>
      <w:r>
        <w:rPr>
          <w:lang w:val="en-US"/>
        </w:rPr>
        <w:t xml:space="preserve">of revenue (</w:t>
      </w:r>
      <w:hyperlink w:anchor="fig_dash">
        <w:r>
          <w:rPr>
            <w:rStyle w:val="Hyperlink"/>
            <w:lang w:val="en-US"/>
          </w:rPr>
          <w:t xml:space="preserve">Figure 1</w:t>
        </w:r>
      </w:hyperlink>
      <w:r>
        <w:rPr>
          <w:lang w:val="en-US"/>
        </w:rPr>
        <w:t xml:space="preserve">b) and has become our second growth engine; the West has led regional growth for three quarters running.</w:t>
      </w:r>
    </w:p>
    <w:p>
      <w:pPr>
        <w:pStyle w:val="Heading1"/>
      </w:pPr>
      <w:bookmarkStart w:id="23" w:name="sec_region"/>
      <w:r>
        <w:rPr>
          <w:rStyle w:val="SectionNumber"/>
          <w:lang w:val="en-US"/>
        </w:rPr>
        <w:t xml:space="preserve">2</w:t>
      </w:r>
      <w:r>
        <w:tab/>
      </w:r>
      <w:r>
        <w:rPr>
          <w:lang w:val="en-US"/>
        </w:rPr>
        <w:t xml:space="preserve">Regions</w:t>
      </w:r>
      <w:bookmarkEnd w:id="23"/>
    </w:p>
    <w:p>
      <w:pPr>
        <w:pStyle w:val="TableCaption"/>
      </w:pPr>
      <w:bookmarkStart w:id="19" w:name="tbl_region"/>
      <w:bookmarkStart w:id="18" w:name="tbl_region"/>
      <w:r>
        <w:rPr>
          <w:lang w:val="en-US"/>
        </w:rPr>
        <w:t xml:space="preserve">Table </w:t>
      </w:r>
      <w:fldSimple w:instr="SEQ Table \* ARABIC ">
        <w:r>
          <w:t>2</w:t>
        </w:r>
      </w:fldSimple>
      <w:bookmarkEnd w:id="18"/>
      <w:r>
        <w:rPr>
          <w:lang w:val="en-US"/>
        </w:rPr>
        <w:t xml:space="preserve">. Revenue by region and product line (USD m)</w:t>
      </w:r>
      <w:bookmarkEnd w:id="19"/>
    </w:p>
    <w:tbl>
      <w:tblPr>
        <w:tblStyle w:val="Table"/>
        <w:tblW w:type="dxa" w:w="7509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Revenue by region and product line (USD m)"/>
      </w:tblPr>
      <w:tblGrid>
        <w:gridCol w:w="1116"/>
        <w:gridCol w:w="2335"/>
        <w:gridCol w:w="710"/>
        <w:gridCol w:w="913"/>
        <w:gridCol w:w="710"/>
        <w:gridCol w:w="913"/>
        <w:gridCol w:w="812"/>
      </w:tblGrid>
      <w:tr>
        <w:trPr>
          <w:cantSplit/>
          <w:tblHeader w:val="on"/>
        </w:trPr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Region</w:t>
            </w:r>
          </w:p>
        </w:tc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Market</w:t>
            </w:r>
          </w:p>
        </w:tc>
        <w:tc>
          <w:tcPr>
            <w:gridSpan w:val="2"/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b/>
                <w:bCs/>
                <w:color w:val="FFFFFF"/>
                <w:lang w:val="en-US"/>
              </w:rPr>
              <w:t xml:space="preserve">Software</w:t>
            </w:r>
          </w:p>
        </w:tc>
        <w:tc>
          <w:tcPr>
            <w:gridSpan w:val="2"/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b/>
                <w:bCs/>
                <w:color w:val="FFFFFF"/>
                <w:lang w:val="en-US"/>
              </w:rPr>
              <w:t xml:space="preserve">Cloud</w:t>
            </w:r>
          </w:p>
        </w:tc>
        <w:tc>
          <w:tcPr>
            <w:vMerge w:val="restart"/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Total</w:t>
            </w:r>
          </w:p>
        </w:tc>
      </w:tr>
      <w:tr>
        <w:trPr>
          <w:cantSplit/>
          <w:tblHeader w:val="on"/>
        </w:trPr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Q3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y/y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Q3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y/y</w:t>
            </w:r>
          </w:p>
        </w:tc>
        <w:tc>
          <w:tcPr>
            <w:gridSpan w:val="1"/>
            <w:vMerge w:val="continue"/>
            <w:shd w:val="clear" w:color="auto" w:fill="1F4E79"/>
            <w:vAlign w:val="center"/>
          </w:tcPr>
          <w:p>
            <w:pPr/>
          </w:p>
        </w:tc>
      </w:tr>
      <w:tr>
        <w:trPr>
          <w:cantSplit/>
        </w:trPr>
        <w:tc>
          <w:tcPr>
            <w:vMerge w:val="restart"/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n-US"/>
              </w:rPr>
              <w:t xml:space="preserve">East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New York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5.9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+12%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4.3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en-US"/>
              </w:rPr>
              <w:t xml:space="preserve">+41%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12.0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3F6FA"/>
            <w:vAlign w:val="center"/>
          </w:tcPr>
          <w:p>
            <w:pPr/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Boston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5.3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+19%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3.4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en-US"/>
              </w:rPr>
              <w:t xml:space="preserve">+36%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9.9</w:t>
            </w:r>
          </w:p>
        </w:tc>
      </w:tr>
      <w:tr>
        <w:trPr>
          <w:cantSplit/>
        </w:trPr>
        <w:tc>
          <w:tcPr>
            <w:gridSpan w:val="1"/>
            <w:vMerge w:val="continue"/>
            <w:vAlign w:val="center"/>
          </w:tcPr>
          <w:p>
            <w:pPr/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Philadelphia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4.6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+15%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2.8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+28%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8.4</w:t>
            </w:r>
          </w:p>
        </w:tc>
      </w:tr>
      <w:tr>
        <w:trPr>
          <w:cantSplit/>
        </w:trPr>
        <w:tc>
          <w:tcPr>
            <w:vMerge w:val="restart"/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n-US"/>
              </w:rPr>
              <w:t xml:space="preserve">South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Atlanta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5.0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+9%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3.1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+24%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9.2</w:t>
            </w:r>
          </w:p>
        </w:tc>
      </w:tr>
      <w:tr>
        <w:trPr>
          <w:cantSplit/>
        </w:trPr>
        <w:tc>
          <w:tcPr>
            <w:gridSpan w:val="1"/>
            <w:vMerge w:val="continue"/>
            <w:vAlign w:val="center"/>
          </w:tcPr>
          <w:p>
            <w:pPr/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Miami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2.0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+6%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1.0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+18%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3.4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n-US"/>
              </w:rPr>
              <w:t xml:space="preserve">North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Chicago, Detroit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4.1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8"/>
                <w:lang w:val="en-US"/>
              </w:rPr>
              <w:t xml:space="preserve">−2%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2.5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+15%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7.7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n-US"/>
              </w:rPr>
              <w:t xml:space="preserve">West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Seattle, Denver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2.9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+22%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2.8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en-US"/>
              </w:rPr>
              <w:t xml:space="preserve">+47%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7.0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n-US"/>
              </w:rPr>
              <w:t xml:space="preserve">Overseas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SE Asia, Middle East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0.4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—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1.5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rStyle w:val="DFChar7"/>
                <w:lang w:val="en-US"/>
              </w:rPr>
              <w:t xml:space="preserve">+120%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2.5</w:t>
            </w:r>
          </w:p>
        </w:tc>
      </w:tr>
      <w:tr>
        <w:trPr>
          <w:cantSplit/>
        </w:trPr>
        <w:tc>
          <w:tcPr>
            <w:gridSpan w:val="2"/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n-US"/>
              </w:rPr>
              <w:t xml:space="preserve">Group total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30.2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+22.5%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21.4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+31.8%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68.0</w:t>
            </w:r>
          </w:p>
        </w:tc>
      </w:tr>
    </w:tbl>
    <w:p>
      <w:pPr>
        <w:pStyle w:val="Heading2"/>
      </w:pPr>
      <w:bookmarkStart w:id="22" w:name="quality_of_earnings"/>
      <w:r>
        <w:rPr>
          <w:rStyle w:val="SectionNumber"/>
          <w:lang w:val="en-US"/>
        </w:rPr>
        <w:t xml:space="preserve">2.1</w:t>
      </w:r>
      <w:r>
        <w:tab/>
      </w:r>
      <w:r>
        <w:rPr>
          <w:lang w:val="en-US"/>
        </w:rPr>
        <w:t xml:space="preserve">Quality of earnings</w:t>
      </w:r>
      <w:bookmarkEnd w:id="22"/>
    </w:p>
    <w:p>
      <w:pPr>
        <w:pStyle w:val="FirstParagraph"/>
      </w:pPr>
      <w:r>
        <w:rPr>
          <w:lang w:val="en-US"/>
        </w:rPr>
        <w:t xml:space="preserve">A DuPont breakdown of return on equity shows all three drivers improving:</w:t>
      </w:r>
    </w:p>
    <w:p>
      <w:pPr>
        <w:pStyle w:val="DFEquation"/>
      </w:pPr>
      <w:r>
        <w:tab/>
      </w:r>
      <m:oMath>
        <m:r>
          <m:rPr>
            <m:sty m:val="p"/>
          </m:rPr>
          <m:t>R</m:t>
        </m:r>
        <m:r>
          <m:rPr>
            <m:sty m:val="p"/>
          </m:rPr>
          <m:t>O</m:t>
        </m:r>
        <m:r>
          <m:rPr>
            <m:sty m:val="p"/>
          </m:rPr>
          <m:t>E</m:t>
        </m:r>
        <m:r>
          <m:rPr>
            <m:sty m:val="p"/>
          </m:rPr>
          <m:t>=</m:t>
        </m:r>
        <m:limLow>
          <m:e>
            <m:limLow>
              <m:e>
                <m:f>
                  <m:fPr>
                    <m:type m:val="bar"/>
                  </m:fPr>
                  <m:num>
                    <m:r>
                      <m:rPr>
                        <m:nor/>
                        <m:sty m:val="p"/>
                      </m:rPr>
                      <m:t>Net profit</m:t>
                    </m:r>
                  </m:num>
                  <m:den>
                    <m:r>
                      <m:rPr>
                        <m:nor/>
                        <m:sty m:val="p"/>
                      </m:rPr>
                      <m:t>Revenue</m:t>
                    </m:r>
                  </m:den>
                </m:f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rPr>
                <m:nor/>
                <m:sty m:val="p"/>
              </m:rPr>
              <m:t>margin</m:t>
            </m:r>
            <m:r>
              <m:t> </m:t>
            </m:r>
            <m:r>
              <m:t>12.8</m:t>
            </m:r>
            <m:r>
              <m:rPr>
                <m:sty m:val="p"/>
              </m:rPr>
              <m:t>%</m:t>
            </m:r>
          </m:lim>
        </m:limLow>
        <m:r>
          <m:rPr>
            <m:sty m:val="p"/>
          </m:rPr>
          <m:t>×</m:t>
        </m:r>
        <m:limLow>
          <m:e>
            <m:limLow>
              <m:e>
                <m:f>
                  <m:fPr>
                    <m:type m:val="bar"/>
                  </m:fPr>
                  <m:num>
                    <m:r>
                      <m:rPr>
                        <m:nor/>
                        <m:sty m:val="p"/>
                      </m:rPr>
                      <m:t>Revenue</m:t>
                    </m:r>
                  </m:num>
                  <m:den>
                    <m:r>
                      <m:rPr>
                        <m:nor/>
                        <m:sty m:val="p"/>
                      </m:rPr>
                      <m:t>Total assets</m:t>
                    </m:r>
                  </m:den>
                </m:f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rPr>
                <m:nor/>
                <m:sty m:val="p"/>
              </m:rPr>
              <m:t>turnover</m:t>
            </m:r>
            <m:r>
              <m:t> </m:t>
            </m:r>
            <m:r>
              <m:t>0.64</m:t>
            </m:r>
          </m:lim>
        </m:limLow>
        <m:r>
          <m:rPr>
            <m:sty m:val="p"/>
          </m:rPr>
          <m:t>×</m:t>
        </m:r>
        <m:limLow>
          <m:e>
            <m:limLow>
              <m:e>
                <m:f>
                  <m:fPr>
                    <m:type m:val="bar"/>
                  </m:fPr>
                  <m:num>
                    <m:r>
                      <m:rPr>
                        <m:nor/>
                        <m:sty m:val="p"/>
                      </m:rPr>
                      <m:t>Total assets</m:t>
                    </m:r>
                  </m:num>
                  <m:den>
                    <m:r>
                      <m:rPr>
                        <m:nor/>
                        <m:sty m:val="p"/>
                      </m:rPr>
                      <m:t>Equity</m:t>
                    </m:r>
                  </m:den>
                </m:f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rPr>
                <m:nor/>
                <m:sty m:val="p"/>
              </m:rPr>
              <m:t>leverage</m:t>
            </m:r>
            <m:r>
              <m:t> </m:t>
            </m:r>
            <m:r>
              <m:t>1.71</m:t>
            </m:r>
          </m:lim>
        </m:limLow>
        <m:r>
          <m:rPr>
            <m:sty m:val="p"/>
          </m:rPr>
          <m:t>≈</m:t>
        </m:r>
        <m:r>
          <m:t>14.0</m:t>
        </m:r>
        <m:r>
          <m:rPr>
            <m:sty m:val="p"/>
          </m:rPr>
          <m:t>%</m:t>
        </m:r>
      </m:oMath>
      <w:r>
        <w:tab/>
      </w:r>
      <w:bookmarkStart w:id="20" w:name="eq_dupont"/>
      <w:r>
        <w:rPr>
          <w:lang w:val="en-US"/>
        </w:rPr>
        <w:t xml:space="preserve">(1)</w:t>
      </w:r>
      <w:bookmarkEnd w:id="20"/>
    </w:p>
    <w:p>
      <w:pPr>
        <w:pStyle w:val="BodyText"/>
      </w:pPr>
      <w:r>
        <w:rPr>
          <w:lang w:val="en-US"/>
        </w:rPr>
        <w:t xml:space="preserve">Customer lifetime value follows</w:t>
      </w:r>
      <w:r>
        <w:rPr>
          <w:lang w:val="en-US"/>
        </w:rPr>
        <w:t xml:space="preserve"> </w:t>
      </w:r>
      <w:hyperlink w:anchor="eq_ltv">
        <w:r>
          <w:rPr>
            <w:rStyle w:val="Hyperlink"/>
            <w:lang w:val="en-US"/>
          </w:rPr>
          <w:t xml:space="preserve">Eq. (2)</w:t>
        </w:r>
      </w:hyperlink>
      <w:r>
        <w:rPr>
          <w:lang w:val="en-US"/>
        </w:rPr>
        <w:t xml:space="preserve">; for cloud,</w:t>
      </w:r>
      <w:r>
        <w:rPr>
          <w:lang w:val="en-US"/>
        </w:rPr>
        <w:t xml:space="preserve"> </w:t>
      </w:r>
      <m:oMath>
        <m:r>
          <m:rPr>
            <m:sty m:val="p"/>
          </m:rPr>
          <m:t>L</m:t>
        </m:r>
        <m:r>
          <m:rPr>
            <m:sty m:val="p"/>
          </m:rPr>
          <m:t>T</m:t>
        </m:r>
        <m:r>
          <m:rPr>
            <m:sty m:val="p"/>
          </m:rPr>
          <m:t>V</m:t>
        </m:r>
        <m:r>
          <m:rPr>
            <m:sty m:val="p"/>
          </m:rPr>
          <m:t>/</m:t>
        </m:r>
        <m:r>
          <m:rPr>
            <m:sty m:val="p"/>
          </m:rPr>
          <m:t>C</m:t>
        </m:r>
        <m:r>
          <m:rPr>
            <m:sty m:val="p"/>
          </m:rPr>
          <m:t>A</m:t>
        </m:r>
        <m:r>
          <m:rPr>
            <m:sty m:val="p"/>
          </m:rPr>
          <m:t>C</m:t>
        </m:r>
        <m:r>
          <m:rPr>
            <m:sty m:val="p"/>
          </m:rPr>
          <m:t>=</m:t>
        </m:r>
        <m:r>
          <m:t>4.3</m:t>
        </m:r>
      </m:oMath>
      <w:r>
        <w:rPr>
          <w:lang w:val="en-US"/>
        </w:rPr>
        <w:t xml:space="preserve">, well above the industry rule of thumb of 3.0:</w:t>
      </w:r>
    </w:p>
    <w:p>
      <w:pPr>
        <w:pStyle w:val="DFEquation"/>
      </w:pPr>
      <w:r>
        <w:tab/>
      </w:r>
      <m:oMath>
        <m:r>
          <m:rPr>
            <m:sty m:val="p"/>
          </m:rPr>
          <m:t>L</m:t>
        </m:r>
        <m:r>
          <m:rPr>
            <m:sty m:val="p"/>
          </m:rPr>
          <m:t>T</m:t>
        </m:r>
        <m:r>
          <m:rPr>
            <m:sty m:val="p"/>
          </m:rPr>
          <m:t>V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t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T</m:t>
            </m:r>
          </m:sup>
          <m:e>
            <m:f>
              <m:fPr>
                <m:type m:val="bar"/>
              </m:fPr>
              <m:num>
                <m:r>
                  <m:t>m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rPr>
                        <m:sty m:val="p"/>
                      </m:rPr>
                      <m:t>A</m:t>
                    </m:r>
                    <m:r>
                      <m:rPr>
                        <m:sty m:val="p"/>
                      </m:rPr>
                      <m:t>R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U</m:t>
                    </m:r>
                  </m:e>
                  <m:sub>
                    <m:r>
                      <m:t>t</m:t>
                    </m:r>
                  </m:sub>
                </m:sSub>
                <m:r>
                  <m:rPr>
                    <m:sty m:val="p"/>
                  </m:rPr>
                  <m:t>⋅</m:t>
                </m:r>
                <m:sSup>
                  <m:e>
                    <m:r>
                      <m:t>r</m:t>
                    </m:r>
                  </m:e>
                  <m:sup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num>
              <m:den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d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t</m:t>
                    </m:r>
                  </m:sup>
                </m:sSup>
              </m:den>
            </m:f>
          </m:e>
        </m:nary>
        <m:r>
          <m:rPr>
            <m:sty m:val="p"/>
          </m:rPr>
          <m:t>,</m:t>
        </m:r>
        <m:r>
          <m:t>  </m:t>
        </m:r>
        <m:r>
          <m:t>r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nor/>
            <m:sty m:val="p"/>
          </m:rPr>
          <m:t>churn</m:t>
        </m:r>
        <m:r>
          <m:rPr>
            <m:sty m:val="p"/>
          </m:rPr>
          <m:t>,</m:t>
        </m:r>
        <m:r>
          <m:t> </m:t>
        </m:r>
        <m:r>
          <m:t>d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%</m:t>
        </m:r>
      </m:oMath>
      <w:r>
        <w:tab/>
      </w:r>
      <w:bookmarkStart w:id="21" w:name="eq_ltv"/>
      <w:r>
        <w:rPr>
          <w:lang w:val="en-US"/>
        </w:rPr>
        <w:t xml:space="preserve">(2)</w:t>
      </w:r>
      <w:bookmarkEnd w:id="21"/>
    </w:p>
    <w:p>
      <w:pPr>
        <w:pStyle w:val="DFPara4"/>
      </w:pPr>
      <w:r>
        <w:rPr>
          <w:b/>
          <w:bCs/>
          <w:lang w:val="en-US"/>
        </w:rPr>
        <w:t xml:space="preserve">Management view</w:t>
      </w:r>
    </w:p>
    <w:p>
      <w:pPr>
        <w:pStyle w:val="DFPara3"/>
      </w:pPr>
      <w:r>
        <w:rPr>
          <w:lang w:val="en-US"/>
        </w:rPr>
        <w:t xml:space="preserve">Of the margin gain,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0.9 pt</w:t>
      </w:r>
      <w:r>
        <w:rPr>
          <w:lang w:val="en-US"/>
        </w:rPr>
        <w:t xml:space="preserve"> </w:t>
      </w:r>
      <w:r>
        <w:rPr>
          <w:lang w:val="en-US"/>
        </w:rPr>
        <w:t xml:space="preserve">comes from the product mix (more high-margin cloud) and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0.3 pt</w:t>
      </w:r>
      <w:r>
        <w:rPr>
          <w:lang w:val="en-US"/>
        </w:rPr>
        <w:t xml:space="preserve"> </w:t>
      </w:r>
      <w:r>
        <w:rPr>
          <w:lang w:val="en-US"/>
        </w:rPr>
        <w:t xml:space="preserve">from delivery automation; see</w:t>
      </w:r>
      <w:r>
        <w:rPr>
          <w:lang w:val="en-US"/>
        </w:rPr>
        <w:t xml:space="preserve"> </w:t>
      </w:r>
      <w:hyperlink w:anchor="sec_kpi">
        <w:r>
          <w:rPr>
            <w:rStyle w:val="Hyperlink"/>
            <w:lang w:val="en-US"/>
          </w:rPr>
          <w:t xml:space="preserve">Key figures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and</w:t>
      </w:r>
      <w:r>
        <w:rPr>
          <w:lang w:val="en-US"/>
        </w:rPr>
        <w:t xml:space="preserve"> </w:t>
      </w:r>
      <w:hyperlink w:anchor="tbl_region">
        <w:r>
          <w:rPr>
            <w:rStyle w:val="Hyperlink"/>
            <w:lang w:val="en-US"/>
          </w:rPr>
          <w:t xml:space="preserve">Table 2</w:t>
        </w:r>
      </w:hyperlink>
      <w:r>
        <w:rPr>
          <w:lang w:val="en-US"/>
        </w:rPr>
        <w:t xml:space="preserve">.</w:t>
      </w:r>
    </w:p>
    <w:p>
      <w:pPr>
        <w:pStyle w:val="Heading1"/>
      </w:pPr>
      <w:bookmarkStart w:id="26" w:name="sec_next"/>
      <w:r>
        <w:rPr>
          <w:rStyle w:val="SectionNumber"/>
          <w:lang w:val="en-US"/>
        </w:rPr>
        <w:t xml:space="preserve">3</w:t>
      </w:r>
      <w:r>
        <w:tab/>
      </w:r>
      <w:r>
        <w:rPr>
          <w:lang w:val="en-US"/>
        </w:rPr>
        <w:t xml:space="preserve">Risks and Q4 plan</w:t>
      </w:r>
      <w:bookmarkEnd w:id="26"/>
    </w:p>
    <w:p>
      <w:pPr>
        <w:pStyle w:val="TableCaption"/>
      </w:pPr>
      <w:bookmarkStart w:id="25" w:name="tbl_risk"/>
      <w:bookmarkStart w:id="24" w:name="tbl_risk"/>
      <w:r>
        <w:rPr>
          <w:lang w:val="en-US"/>
        </w:rPr>
        <w:t xml:space="preserve">Table </w:t>
      </w:r>
      <w:fldSimple w:instr="SEQ Table \* ARABIC ">
        <w:r>
          <w:t>3</w:t>
        </w:r>
      </w:fldSimple>
      <w:bookmarkEnd w:id="24"/>
      <w:r>
        <w:rPr>
          <w:lang w:val="en-US"/>
        </w:rPr>
        <w:t xml:space="preserve">. Main risks and responses</w:t>
      </w:r>
      <w:bookmarkEnd w:id="25"/>
    </w:p>
    <w:tbl>
      <w:tblPr>
        <w:tblStyle w:val="Table"/>
        <w:tblW w:type="dxa" w:w="7920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Main risks and responses"/>
      </w:tblPr>
      <w:tblGrid>
        <w:gridCol w:w="1188"/>
        <w:gridCol w:w="1584"/>
        <w:gridCol w:w="1188"/>
        <w:gridCol w:w="1980"/>
        <w:gridCol w:w="1980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  <w:jc w:val="left"/>
            </w:pPr>
            <w:r>
              <w:rPr>
                <w:b/>
                <w:bCs/>
                <w:color w:val="FFFFFF"/>
                <w:lang w:val="en-US"/>
              </w:rPr>
              <w:t xml:space="preserve">Risk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b/>
                <w:bCs/>
                <w:color w:val="FFFFFF"/>
                <w:lang w:val="en-US"/>
              </w:rPr>
              <w:t xml:space="preserve">Likelihood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b/>
                <w:bCs/>
                <w:color w:val="FFFFFF"/>
                <w:lang w:val="en-US"/>
              </w:rPr>
              <w:t xml:space="preserve">Impact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left"/>
            </w:pPr>
            <w:r>
              <w:rPr>
                <w:b/>
                <w:bCs/>
                <w:color w:val="FFFFFF"/>
                <w:lang w:val="en-US"/>
              </w:rPr>
              <w:t xml:space="preserve">Response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center"/>
            </w:pPr>
            <w:r>
              <w:rPr>
                <w:b/>
                <w:bCs/>
                <w:color w:val="FFFFFF"/>
                <w:lang w:val="en-US"/>
              </w:rPr>
              <w:t xml:space="preserve">Owner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left"/>
            </w:pPr>
            <w:r>
              <w:rPr>
                <w:lang w:val="en-US"/>
              </w:rPr>
              <w:t xml:space="preserve">Late payment by key accounts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0"/>
                <w:lang w:val="en-US"/>
              </w:rPr>
              <w:t xml:space="preserve">High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0"/>
                <w:lang w:val="en-US"/>
              </w:rPr>
              <w:t xml:space="preserve">High</w:t>
            </w:r>
          </w:p>
        </w:tc>
        <w:tc>
          <w:tcPr>
            <w:vAlign w:val="center"/>
          </w:tcPr>
          <w:p>
            <w:pPr>
              <w:pStyle w:val="DFTableText"/>
              <w:jc w:val="left"/>
            </w:pPr>
            <w:r>
              <w:rPr>
                <w:lang w:val="en-US"/>
              </w:rPr>
              <w:t xml:space="preserve">Staged milestones in contracts, weekly collection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en-US"/>
              </w:rPr>
              <w:t xml:space="preserve">Finance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  <w:jc w:val="left"/>
            </w:pPr>
            <w:r>
              <w:rPr>
                <w:lang w:val="en-US"/>
              </w:rPr>
              <w:t xml:space="preserve">Software decline in the North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1"/>
                <w:lang w:val="en-US"/>
              </w:rPr>
              <w:t xml:space="preserve">Med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1"/>
                <w:lang w:val="en-US"/>
              </w:rPr>
              <w:t xml:space="preserve">Med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left"/>
            </w:pPr>
            <w:r>
              <w:rPr>
                <w:lang w:val="en-US"/>
              </w:rPr>
              <w:t xml:space="preserve">Channel changes, subscription bundle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center"/>
            </w:pPr>
            <w:r>
              <w:rPr>
                <w:lang w:val="en-US"/>
              </w:rPr>
              <w:t xml:space="preserve">North region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left"/>
            </w:pPr>
            <w:r>
              <w:rPr>
                <w:lang w:val="en-US"/>
              </w:rPr>
              <w:t xml:space="preserve">Currency swings overseas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1"/>
                <w:lang w:val="en-US"/>
              </w:rPr>
              <w:t xml:space="preserve">Med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Style w:val="DFChar12"/>
                <w:lang w:val="en-US"/>
              </w:rPr>
              <w:t xml:space="preserve">Low</w:t>
            </w:r>
          </w:p>
        </w:tc>
        <w:tc>
          <w:tcPr>
            <w:vAlign w:val="center"/>
          </w:tcPr>
          <w:p>
            <w:pPr>
              <w:pStyle w:val="DFTableText"/>
              <w:jc w:val="left"/>
            </w:pPr>
            <w:r>
              <w:rPr>
                <w:lang w:val="en-US"/>
              </w:rPr>
              <w:t xml:space="preserve">Forwards covering 60% of exposure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en-US"/>
              </w:rPr>
              <w:t xml:space="preserve">Treasury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lang w:val="en-US"/>
        </w:rPr>
        <w:t xml:space="preserve">Grow the cloud delivery team by 30 (22 hired)</w:t>
      </w:r>
    </w:p>
    <w:p>
      <w:pPr>
        <w:pStyle w:val="Compact"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lang w:val="en-US"/>
        </w:rPr>
        <w:t xml:space="preserve">Launch deployment automation platform 2.0</w:t>
      </w:r>
    </w:p>
    <w:p>
      <w:pPr>
        <w:pStyle w:val="Compact"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☐ </w:t>
      </w:r>
      <w:r>
        <w:rPr>
          <w:lang w:val="en-US"/>
        </w:rPr>
        <w:t xml:space="preserve">Bring days sales outstanding below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85</w:t>
      </w:r>
    </w:p>
    <w:p>
      <w:pPr>
        <w:pStyle w:val="Compact"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☐ </w:t>
      </w:r>
      <w:r>
        <w:rPr>
          <w:lang w:val="en-US"/>
        </w:rPr>
        <w:t xml:space="preserve">Open a local service centre in the Middle East</w:t>
      </w:r>
    </w:p>
    <w:p>
      <w:pPr>
        <w:pStyle w:val="BlockText"/>
      </w:pPr>
      <w:r>
        <w:rPr>
          <w:lang w:val="en-US"/>
        </w:rPr>
        <w:t xml:space="preserve">“Quality of growth matters more than speed.” — Chair, Q3 operating review</w:t>
      </w:r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rPr>
          <w:lang w:val="en-US"/>
        </w:rPr>
        <w:t xml:space="preserve"> </w:t>
      </w:r>
      <w:r>
        <w:rPr>
          <w:lang w:val="en-US"/>
        </w:rPr>
        <w:t xml:space="preserve">Days sales outstanding = closing receivables ÷ quarterly revenue × 91.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Q3 2026 Business Review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1F4E79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pBdr>
        <w:bottom w:color="9AAFC3" w:space="4" w:sz="6" w:val="single"/>
      </w:pBdr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1F4E79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1F4E79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1F4E79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1F4E79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1F4E79"/>
      <w:sz w:val="40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1F4E79"/>
      <w:sz w:val="32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1F4E79"/>
      <w:sz w:val="28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1F4E79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6A1B9A"/>
      </w:pBdr>
      <w:shd w:val="clear" w:color="auto" w:fill="F5EFF8"/>
      <w:spacing w:before="0" w:after="0" w:line="348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6A1B9A"/>
      </w:pBdr>
      <w:shd w:val="clear" w:color="auto" w:fill="F5EFF8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6A1B9A"/>
    </w:rPr>
  </w:style>
  <w:style w:type="paragraph" w:customStyle="1" w:styleId="DFPara3">
    <w:name w:val="DF Para 3"/>
    <w:basedOn w:val="BodyText"/>
    <w:qFormat/>
    <w:pPr>
      <w:pBdr>
        <w:left w:val="single" w:sz="24" w:space="10" w:color="2E7D32"/>
      </w:pBdr>
      <w:shd w:val="clear" w:color="auto" w:fill="F0F6F1"/>
      <w:spacing w:before="0" w:after="0" w:line="348" w:lineRule="auto"/>
      <w:ind w:left="240" w:right="120" w:firstLine="0" w:firstLineChars="0"/>
    </w:pPr>
  </w:style>
  <w:style w:type="paragraph" w:customStyle="1" w:styleId="DFPara4">
    <w:name w:val="DF Para 4"/>
    <w:basedOn w:val="BodyText"/>
    <w:qFormat/>
    <w:pPr>
      <w:keepNext/>
      <w:pBdr>
        <w:left w:val="single" w:sz="24" w:space="10" w:color="2E7D32"/>
      </w:pBdr>
      <w:shd w:val="clear" w:color="auto" w:fill="F0F6F1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2E7D32"/>
    </w:rPr>
  </w:style>
  <w:style w:type="character" w:customStyle="1" w:styleId="DFChar10">
    <w:name w:val="DF Char 10"/>
    <w:rPr>
      <w:b/>
      <w:bCs/>
      <w:color w:val="C0392B"/>
      <w:shd w:val="clear" w:color="auto" w:fill="FADBD8"/>
    </w:rPr>
  </w:style>
  <w:style w:type="character" w:customStyle="1" w:styleId="DFChar11">
    <w:name w:val="DF Char 11"/>
    <w:rPr>
      <w:b/>
      <w:bCs/>
      <w:color w:val="B9770E"/>
      <w:shd w:val="clear" w:color="auto" w:fill="FDEBD0"/>
    </w:rPr>
  </w:style>
  <w:style w:type="character" w:customStyle="1" w:styleId="DFChar12">
    <w:name w:val="DF Char 12"/>
    <w:rPr>
      <w:b/>
      <w:bCs/>
      <w:color w:val="1E8449"/>
      <w:shd w:val="clear" w:color="auto" w:fill="D5F5E3"/>
    </w:rPr>
  </w:style>
  <w:style w:type="character" w:customStyle="1" w:styleId="DFChar5">
    <w:name w:val="DF Char 5"/>
    <w:rPr>
      <w:b/>
      <w:bCs/>
      <w:color w:val="2E7D32"/>
    </w:rPr>
  </w:style>
  <w:style w:type="character" w:customStyle="1" w:styleId="DFChar6">
    <w:name w:val="DF Char 6"/>
    <w:rPr>
      <w:b/>
      <w:bCs/>
      <w:color w:val="1F4E79"/>
    </w:rPr>
  </w:style>
  <w:style w:type="character" w:customStyle="1" w:styleId="DFChar7">
    <w:name w:val="DF Char 7"/>
    <w:rPr>
      <w:color w:val="2E7D32"/>
    </w:rPr>
  </w:style>
  <w:style w:type="character" w:customStyle="1" w:styleId="DFChar8">
    <w:name w:val="DF Char 8"/>
    <w:rPr>
      <w:color w:val="C0392B"/>
    </w:rPr>
  </w:style>
  <w:style w:type="character" w:customStyle="1" w:styleId="DFChar9">
    <w:name w:val="DF Char 9"/>
    <w:rPr>
      <w:color w:val="E67E2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10" Target="media/rId10.png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2026 Business Review</dc:title>
  <dc:creator>Business Operations · Finance</dc:creator>
  <dc:language>en-US</dc:language>
  <cp:keywords/>
  <dcterms:created xsi:type="dcterms:W3CDTF">2026-11-02T05:43:06Z</dcterms:created>
  <dcterms:modified xsi:type="dcterms:W3CDTF">2026-11-02T05:43:06Z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October 15, 2026</vt:lpwstr>
  </property>
  <property fmtid="{D5CDD505-2E9C-101B-9397-08002B2CF9AE}" pid="3" name="number-sections">
    <vt:lpwstr>True</vt:lpwstr>
  </property>
  <property fmtid="{D5CDD505-2E9C-101B-9397-08002B2CF9AE}" pid="4" name="subtitle">
    <vt:lpwstr>Northwind Technologies · Board quarterly report</vt:lpwstr>
  </property>
</Properties>
</file>