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1.png" ContentType="image/png"/>
  <Override PartName="/word/media/rId24.png" ContentType="image/png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Attention-Weighted Physics-Informed Neural Networks for the Unsteady Navier–Stokes Equations</w:t>
      </w:r>
    </w:p>
    <w:p>
      <w:pPr>
        <w:pStyle w:val="Author"/>
      </w:pPr>
      <w:r>
        <w:rPr>
          <w:lang w:val="en-US"/>
        </w:rPr>
        <w:t xml:space="preserve">Ming Wang</w:t>
      </w:r>
      <w:r>
        <w:rPr>
          <w:vertAlign w:val="superscript"/>
          <w:lang w:val="en-US"/>
        </w:rPr>
        <w:t xml:space="preserve">1</w:t>
      </w:r>
      <w:r>
        <w:rPr>
          <w:lang w:val="en-US"/>
        </w:rPr>
        <w:t xml:space="preserve">, Hua Li</w:t>
      </w:r>
      <w:r>
        <w:rPr>
          <w:vertAlign w:val="superscript"/>
          <w:lang w:val="en-US"/>
        </w:rPr>
        <w:t xml:space="preserve">1,2</w:t>
      </w:r>
      <w:r>
        <w:rPr>
          <w:lang w:val="en-US"/>
        </w:rPr>
        <w:t xml:space="preserve">, Siyuan Chen</w:t>
      </w:r>
      <w:r>
        <w:rPr>
          <w:vertAlign w:val="superscript"/>
          <w:lang w:val="en-US"/>
        </w:rPr>
        <w:t xml:space="preserve">2</w:t>
      </w:r>
    </w:p>
    <w:p>
      <w:pPr>
        <w:pStyle w:val="Date"/>
      </w:pPr>
      <w:r>
        <w:rPr>
          <w:lang w:val="en-US"/>
        </w:rPr>
        <w:t xml:space="preserve">September 2026</w:t>
      </w:r>
    </w:p>
    <w:p>
      <w:pPr>
        <w:pStyle w:val="AbstractTitle"/>
      </w:pPr>
      <w:r>
        <w:t xml:space="preserve">Abstract</w:t>
      </w:r>
    </w:p>
    <w:p>
      <w:pPr>
        <w:pStyle w:val="Abstract"/>
      </w:pPr>
      <w:r>
        <w:rPr>
          <w:lang w:val="en-US"/>
        </w:rPr>
        <w:t xml:space="preserve">Physics-informed neural networks (PINNs) often fail to converge on unsteady flows at high Reynolds numbers because the gradients of their loss terms are badly out of balance. We propose Attn-PINN, which uses an attention mechanism to weight the residuals adaptively, and prove an upper bound on its approximation error. For flow past a cylinder (</w:t>
      </w:r>
      <m:oMath>
        <m:r>
          <m:rPr>
            <m:sty m:val="p"/>
          </m:rPr>
          <m:t>R</m:t>
        </m:r>
        <m:r>
          <m:rPr>
            <m:sty m:val="p"/>
          </m:rPr>
          <m:t>e</m:t>
        </m:r>
        <m:r>
          <m:rPr>
            <m:sty m:val="p"/>
          </m:rPr>
          <m:t>=</m:t>
        </m:r>
        <m:r>
          <m:t>3</m:t>
        </m:r>
        <m:r>
          <m:t> </m:t>
        </m:r>
        <m:r>
          <m:t>900</m:t>
        </m:r>
      </m:oMath>
      <w:r>
        <w:rPr>
          <w:lang w:val="en-US"/>
        </w:rPr>
        <w:t xml:space="preserve">), Attn-PINN reaches a relative</w:t>
      </w:r>
      <w:r>
        <w:rPr>
          <w:lang w:val="en-US"/>
        </w:rPr>
        <w:t xml:space="preserve"> </w:t>
      </w:r>
      <m:oMath>
        <m:sSup>
          <m:e>
            <m:r>
              <m:t>L</m:t>
            </m:r>
          </m:e>
          <m:sup>
            <m:r>
              <m:t>2</m:t>
            </m:r>
          </m:sup>
        </m:sSup>
      </m:oMath>
      <w:r>
        <w:rPr>
          <w:lang w:val="en-US"/>
        </w:rPr>
        <w:t xml:space="preserve"> </w:t>
      </w:r>
      <w:r>
        <w:rPr>
          <w:lang w:val="en-US"/>
        </w:rPr>
        <w:t xml:space="preserve">error of</w:t>
      </w:r>
      <w:r>
        <w:rPr>
          <w:lang w:val="en-US"/>
        </w:rPr>
        <w:t xml:space="preserve"> </w:t>
      </w:r>
      <m:oMath>
        <m:r>
          <m:t>1.7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rPr>
          <w:lang w:val="en-US"/>
        </w:rPr>
        <w:t xml:space="preserve"> </w:t>
      </w:r>
      <w:r>
        <w:rPr>
          <w:lang w:val="en-US"/>
        </w:rPr>
        <w:t xml:space="preserve">—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an order of magnitude</w:t>
      </w:r>
      <w:r>
        <w:rPr>
          <w:lang w:val="en-US"/>
        </w:rPr>
        <w:t xml:space="preserve"> </w:t>
      </w:r>
      <w:r>
        <w:rPr>
          <w:lang w:val="en-US"/>
        </w:rPr>
        <w:t xml:space="preserve">below the baseline — while training 41% faster.</w:t>
      </w:r>
    </w:p>
    <w:p>
      <w:pPr>
        <w:pStyle w:val="Heading1"/>
      </w:pPr>
      <w:bookmarkStart w:id="9" w:name="introduction"/>
      <w:r>
        <w:rPr>
          <w:rStyle w:val="SectionNumber"/>
          <w:lang w:val="en-US"/>
        </w:rPr>
        <w:t xml:space="preserve">1</w:t>
      </w:r>
      <w:r>
        <w:tab/>
      </w:r>
      <w:r>
        <w:rPr>
          <w:lang w:val="en-US"/>
        </w:rPr>
        <w:t xml:space="preserve">Introduction</w:t>
      </w:r>
      <w:bookmarkEnd w:id="9"/>
    </w:p>
    <w:p>
      <w:pPr>
        <w:pStyle w:val="FirstParagraph"/>
      </w:pPr>
      <w:r>
        <w:rPr>
          <w:lang w:val="en-US"/>
        </w:rPr>
        <w:t xml:space="preserve">PINNs embed the residual of a partial differential equation in the loss of a neural network</w:t>
      </w:r>
      <w:r>
        <w:rPr>
          <w:vertAlign w:val="superscript"/>
          <w:lang w:val="en-US"/>
        </w:rPr>
        <w:t xml:space="preserve">[</w:t>
      </w:r>
      <w:hyperlink w:anchor="ref_raissi2019">
        <w:r>
          <w:rPr>
            <w:rStyle w:val="Hyperlink"/>
            <w:vertAlign w:val="superscript"/>
            <w:lang w:val="en-US"/>
          </w:rPr>
          <w:t xml:space="preserve">1</w:t>
        </w:r>
      </w:hyperlink>
      <w:r>
        <w:rPr>
          <w:vertAlign w:val="superscript"/>
          <w:lang w:val="en-US"/>
        </w:rPr>
        <w:t xml:space="preserve">]</w:t>
      </w:r>
      <w:r>
        <w:rPr>
          <w:lang w:val="en-US"/>
        </w:rPr>
        <w:t xml:space="preserve">. They need no mesh and solve forward and inverse problems alike, and have become a core method of scientific machine learning</w:t>
      </w:r>
      <w:r>
        <w:rPr>
          <w:vertAlign w:val="superscript"/>
          <w:lang w:val="en-US"/>
        </w:rPr>
        <w:t xml:space="preserve">[</w:t>
      </w:r>
      <w:hyperlink w:anchor="ref_karniadakis2021">
        <w:r>
          <w:rPr>
            <w:rStyle w:val="Hyperlink"/>
            <w:vertAlign w:val="superscript"/>
            <w:lang w:val="en-US"/>
          </w:rPr>
          <w:t xml:space="preserve">2</w:t>
        </w:r>
      </w:hyperlink>
      <w:r>
        <w:rPr>
          <w:vertAlign w:val="superscript"/>
          <w:lang w:val="en-US"/>
        </w:rPr>
        <w:t xml:space="preserve">]</w:t>
      </w:r>
      <w:r>
        <w:rPr>
          <w:lang w:val="en-US"/>
        </w:rPr>
        <w:t xml:space="preserve">. For the strongly nonlinear Navier–Stokes equations, however, the gradients of the individual loss terms can differ by more than</w:t>
      </w:r>
      <w:r>
        <w:rPr>
          <w:lang w:val="en-US"/>
        </w:rPr>
        <w:t xml:space="preserve"> </w:t>
      </w:r>
      <m:oMath>
        <m:sSup>
          <m:e>
            <m:r>
              <m:t>10</m:t>
            </m:r>
          </m:e>
          <m:sup>
            <m:r>
              <m:t>3</m:t>
            </m:r>
          </m:sup>
        </m:sSup>
      </m:oMath>
      <w:r>
        <w:rPr>
          <w:lang w:val="en-US"/>
        </w:rPr>
        <w:t xml:space="preserve">, trapping training in a “gradient pathology”</w:t>
      </w:r>
      <w:r>
        <w:rPr>
          <w:vertAlign w:val="superscript"/>
          <w:lang w:val="en-US"/>
        </w:rPr>
        <w:t xml:space="preserve">[</w:t>
      </w:r>
      <w:hyperlink w:anchor="ref_wang2021">
        <w:r>
          <w:rPr>
            <w:rStyle w:val="Hyperlink"/>
            <w:vertAlign w:val="superscript"/>
            <w:lang w:val="en-US"/>
          </w:rPr>
          <w:t xml:space="preserve">3</w:t>
        </w:r>
      </w:hyperlink>
      <w:r>
        <w:rPr>
          <w:vertAlign w:val="superscript"/>
          <w:lang w:val="en-US"/>
        </w:rPr>
        <w:t xml:space="preserve">]</w:t>
      </w:r>
      <w:r>
        <w:rPr>
          <w:lang w:val="en-US"/>
        </w:rPr>
        <w:t xml:space="preserve">. Neural operators</w:t>
      </w:r>
      <w:r>
        <w:rPr>
          <w:vertAlign w:val="superscript"/>
          <w:lang w:val="en-US"/>
        </w:rPr>
        <w:t xml:space="preserve">[</w:t>
      </w:r>
      <w:hyperlink w:anchor="ref_li2021">
        <w:r>
          <w:rPr>
            <w:rStyle w:val="Hyperlink"/>
            <w:vertAlign w:val="superscript"/>
            <w:lang w:val="en-US"/>
          </w:rPr>
          <w:t xml:space="preserve">4</w:t>
        </w:r>
      </w:hyperlink>
      <w:r>
        <w:rPr>
          <w:vertAlign w:val="superscript"/>
          <w:lang w:val="en-US"/>
        </w:rPr>
        <w:t xml:space="preserve">]</w:t>
      </w:r>
      <w:r>
        <w:rPr>
          <w:lang w:val="en-US"/>
        </w:rPr>
        <w:t xml:space="preserve"> </w:t>
      </w:r>
      <w:r>
        <w:rPr>
          <w:lang w:val="en-US"/>
        </w:rPr>
        <w:t xml:space="preserve">ease the problem but need large amounts of labelled data. Borrowing the attention mechanism of the Transformer</w:t>
      </w:r>
      <w:r>
        <w:rPr>
          <w:vertAlign w:val="superscript"/>
          <w:lang w:val="en-US"/>
        </w:rPr>
        <w:t xml:space="preserve">[</w:t>
      </w:r>
      <w:hyperlink w:anchor="ref_vaswani2017">
        <w:r>
          <w:rPr>
            <w:rStyle w:val="Hyperlink"/>
            <w:vertAlign w:val="superscript"/>
            <w:lang w:val="en-US"/>
          </w:rPr>
          <w:t xml:space="preserve">5</w:t>
        </w:r>
      </w:hyperlink>
      <w:r>
        <w:rPr>
          <w:vertAlign w:val="superscript"/>
          <w:lang w:val="en-US"/>
        </w:rPr>
        <w:t xml:space="preserve">]</w:t>
      </w:r>
      <w:r>
        <w:rPr>
          <w:lang w:val="en-US"/>
        </w:rPr>
        <w:t xml:space="preserve">, we let the network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learn</w:t>
      </w:r>
      <w:r>
        <w:rPr>
          <w:lang w:val="en-US"/>
        </w:rPr>
        <w:t xml:space="preserve"> </w:t>
      </w:r>
      <w:r>
        <w:rPr>
          <w:lang w:val="en-US"/>
        </w:rPr>
        <w:t xml:space="preserve">the weight of every collocation point during training.</w:t>
      </w:r>
    </w:p>
    <w:p>
      <w:pPr>
        <w:pStyle w:val="Heading1"/>
      </w:pPr>
      <w:bookmarkStart w:id="11" w:name="sec_problem"/>
      <w:r>
        <w:rPr>
          <w:rStyle w:val="SectionNumber"/>
          <w:lang w:val="en-US"/>
        </w:rPr>
        <w:t xml:space="preserve">2</w:t>
      </w:r>
      <w:r>
        <w:tab/>
      </w:r>
      <w:r>
        <w:rPr>
          <w:lang w:val="en-US"/>
        </w:rPr>
        <w:t xml:space="preserve">Problem statement</w:t>
      </w:r>
      <w:bookmarkEnd w:id="11"/>
    </w:p>
    <w:p>
      <w:pPr>
        <w:pStyle w:val="FirstParagraph"/>
      </w:pPr>
      <w:r>
        <w:rPr>
          <w:lang w:val="en-US"/>
        </w:rPr>
        <w:t xml:space="preserve">Consider incompressible viscous flow in a domain</w:t>
      </w:r>
      <w:r>
        <w:rPr>
          <w:lang w:val="en-US"/>
        </w:rP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⊂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rPr>
          <w:lang w:val="en-US"/>
        </w:rPr>
        <w:t xml:space="preserve">. The velocity</w:t>
      </w:r>
      <w:r>
        <w:rPr>
          <w:lang w:val="en-US"/>
        </w:rPr>
        <w:t xml:space="preserve"> </w:t>
      </w:r>
      <m:oMath>
        <m:r>
          <m:rPr>
            <m:sty m:val="bi"/>
          </m:rPr>
          <m:t>u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v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rPr>
          <w:lang w:val="en-US"/>
        </w:rPr>
        <w:t xml:space="preserve"> </w:t>
      </w:r>
      <w:r>
        <w:rPr>
          <w:lang w:val="en-US"/>
        </w:rPr>
        <w:t xml:space="preserve">and pressure</w:t>
      </w:r>
      <w:r>
        <w:rPr>
          <w:lang w:val="en-US"/>
        </w:rPr>
        <w:t xml:space="preserve"> </w:t>
      </w:r>
      <m:oMath>
        <m:r>
          <m:t>p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satisfy</w:t>
      </w:r>
    </w:p>
    <w:p>
      <w:pPr>
        <w:pStyle w:val="DFEquation"/>
      </w:pPr>
      <w:r>
        <w:tab/>
      </w:r>
      <m:oMath>
        <m:d>
          <m:dPr>
            <m:begChr m:val="{"/>
            <m:sepChr m:val=""/>
            <m:endChr m:val=""/>
            <m:grow/>
          </m:dPr>
          <m:e>
            <m:eqArr>
              <m:e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rPr>
                        <m:sty m:val="bi"/>
                      </m:rPr>
                      <m:t>u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t</m:t>
                    </m:r>
                  </m:den>
                </m:f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u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∇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bi"/>
                  </m:rPr>
                  <m:t>u</m:t>
                </m:r>
                <m:r>
                  <m:t>&amp;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ρ</m:t>
                    </m:r>
                  </m:den>
                </m:f>
                <m:r>
                  <m:rPr>
                    <m:sty m:val="p"/>
                  </m:rPr>
                  <m:t>∇</m:t>
                </m:r>
                <m:r>
                  <m:t>p</m:t>
                </m:r>
                <m:r>
                  <m:rPr>
                    <m:sty m:val="p"/>
                  </m:rPr>
                  <m:t>+</m:t>
                </m:r>
                <m:r>
                  <m:t>ν</m:t>
                </m:r>
                <m:r>
                  <m:t> </m:t>
                </m:r>
                <m:sSup>
                  <m:e>
                    <m:r>
                      <m:rPr>
                        <m:sty m:val="p"/>
                      </m:rPr>
                      <m:t>∇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bi"/>
                  </m:rPr>
                  <m:t>u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i"/>
                  </m:rPr>
                  <m:t>f</m:t>
                </m:r>
                <m:r>
                  <m:rPr>
                    <m:sty m:val="p"/>
                  </m:rPr>
                  <m:t>,</m:t>
                </m:r>
                <m:r>
                  <m:t>&amp;</m:t>
                </m:r>
                <m:r>
                  <m:t>&amp;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,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∈</m:t>
                </m:r>
                <m:r>
                  <m:rPr>
                    <m:sty m:val="p"/>
                  </m:rPr>
                  <m:t>Ω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T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e>
              <m:e>
                <m:r>
                  <m:rPr>
                    <m:sty m:val="p"/>
                  </m:rPr>
                  <m:t>∇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bi"/>
                  </m:rPr>
                  <m:t>u</m:t>
                </m:r>
                <m:r>
                  <m:t>&amp;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&amp;</m:t>
                </m:r>
                <m:r>
                  <m:t>&amp;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,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∈</m:t>
                </m:r>
                <m:r>
                  <m:rPr>
                    <m:sty m:val="p"/>
                  </m:rPr>
                  <m:t>Ω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T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e>
              <m:e>
                <m:r>
                  <m:rPr>
                    <m:sty m:val="bi"/>
                  </m:rPr>
                  <m:t>u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t>&amp;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rPr>
                        <m:sty m:val="bi"/>
                      </m:rPr>
                      <m:t>u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&amp;</m:t>
                </m:r>
                <m:r>
                  <m:t>&amp;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∈</m:t>
                </m:r>
                <m:r>
                  <m:rPr>
                    <m:sty m:val="p"/>
                  </m:rPr>
                  <m:t>Ω</m:t>
                </m:r>
                <m:r>
                  <m:rPr>
                    <m:sty m:val="p"/>
                  </m:rPr>
                  <m:t>,</m:t>
                </m:r>
              </m:e>
            </m:eqArr>
          </m:e>
        </m:d>
      </m:oMath>
      <w:r>
        <w:tab/>
      </w:r>
      <w:bookmarkStart w:id="10" w:name="eq_ns"/>
      <w:r>
        <w:rPr>
          <w:lang w:val="en-US"/>
        </w:rPr>
        <w:t xml:space="preserve">(1)</w:t>
      </w:r>
      <w:bookmarkEnd w:id="10"/>
    </w:p>
    <w:p>
      <w:pPr>
        <w:pStyle w:val="BodyText"/>
      </w:pPr>
      <w:r>
        <w:rPr>
          <w:lang w:val="en-US"/>
        </w:rPr>
        <w:t xml:space="preserve">where</w:t>
      </w:r>
      <w:r>
        <w:rPr>
          <w:lang w:val="en-US"/>
        </w:rPr>
        <w:t xml:space="preserve"> </w:t>
      </w:r>
      <m:oMath>
        <m:r>
          <m:t>ν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is the kinematic viscosity. With networks</w:t>
      </w:r>
      <w:r>
        <w:rPr>
          <w:lang w:val="en-US"/>
        </w:rP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r>
              <m:t>θ</m:t>
            </m:r>
          </m:sub>
        </m:sSub>
      </m:oMath>
      <w:r>
        <w:rPr>
          <w:lang w:val="en-US"/>
        </w:rPr>
        <w:t xml:space="preserve"> </w:t>
      </w:r>
      <w:r>
        <w:rPr>
          <w:lang w:val="en-US"/>
        </w:rPr>
        <w:t xml:space="preserve">and</w:t>
      </w:r>
      <w:r>
        <w:rPr>
          <w:lang w:val="en-US"/>
        </w:rP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θ</m:t>
            </m:r>
          </m:sub>
        </m:sSub>
      </m:oMath>
      <w:r>
        <w:rPr>
          <w:lang w:val="en-US"/>
        </w:rPr>
        <w:t xml:space="preserve"> </w:t>
      </w:r>
      <w:r>
        <w:rPr>
          <w:lang w:val="en-US"/>
        </w:rPr>
        <w:t xml:space="preserve">approximating the solution, the momentum residual is</w:t>
      </w:r>
      <w:r>
        <w:rPr>
          <w:lang w:val="en-US"/>
        </w:rPr>
        <w:t xml:space="preserve"> </w:t>
      </w:r>
      <m:oMath>
        <m:sSub>
          <m:e>
            <m:r>
              <m:rPr>
                <m:sty m:val="bi"/>
              </m:rPr>
              <m:t>r</m:t>
            </m:r>
          </m:e>
          <m:sub>
            <m:r>
              <m:t>θ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p"/>
              </m:rPr>
              <m:t>∂</m:t>
            </m:r>
          </m:e>
          <m:sub>
            <m:r>
              <m:t>t</m:t>
            </m:r>
          </m:sub>
        </m:sSub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r>
              <m:t>θ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r>
              <m:t>θ</m:t>
            </m:r>
          </m:sub>
        </m:sSub>
        <m:r>
          <m:rPr>
            <m:sty m:val="p"/>
          </m:rPr>
          <m:t>⋅</m:t>
        </m:r>
        <m:r>
          <m:rPr>
            <m:sty m:val="p"/>
          </m:rPr>
          <m:t>∇</m:t>
        </m:r>
        <m:r>
          <m:rPr>
            <m:sty m:val="p"/>
          </m:rPr>
          <m:t>)</m:t>
        </m:r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r>
              <m:t>θ</m:t>
            </m:r>
          </m:sub>
        </m:sSub>
        <m:r>
          <m:rPr>
            <m:sty m:val="p"/>
          </m:rPr>
          <m:t>+</m:t>
        </m:r>
        <m:sSup>
          <m:e>
            <m:r>
              <m:t>ρ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∇</m:t>
        </m:r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θ</m:t>
            </m:r>
          </m:sub>
        </m:sSub>
        <m:r>
          <m:rPr>
            <m:sty m:val="p"/>
          </m:rPr>
          <m:t>−</m:t>
        </m:r>
        <m:r>
          <m:t>ν</m:t>
        </m:r>
        <m:sSup>
          <m:e>
            <m:r>
              <m:rPr>
                <m:sty m:val="p"/>
              </m:rPr>
              <m:t>∇</m:t>
            </m:r>
          </m:e>
          <m:sup>
            <m:r>
              <m:t>2</m:t>
            </m:r>
          </m:sup>
        </m:sSup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r>
              <m:t>θ</m:t>
            </m:r>
          </m:sub>
        </m:sSub>
        <m:r>
          <m:rPr>
            <m:sty m:val="p"/>
          </m:rPr>
          <m:t>−</m:t>
        </m:r>
        <m:r>
          <m:rPr>
            <m:sty m:val="bi"/>
          </m:rPr>
          <m:t>f</m:t>
        </m:r>
      </m:oMath>
      <w:r>
        <w:rPr>
          <w:lang w:val="en-US"/>
        </w:rPr>
        <w:t xml:space="preserve">.</w:t>
      </w:r>
    </w:p>
    <w:p>
      <w:pPr>
        <w:pStyle w:val="Heading1"/>
      </w:pPr>
      <w:bookmarkStart w:id="17" w:name="sec_method"/>
      <w:r>
        <w:rPr>
          <w:rStyle w:val="SectionNumber"/>
          <w:lang w:val="en-US"/>
        </w:rPr>
        <w:t xml:space="preserve">3</w:t>
      </w:r>
      <w:r>
        <w:tab/>
      </w:r>
      <w:r>
        <w:rPr>
          <w:lang w:val="en-US"/>
        </w:rPr>
        <w:t xml:space="preserve">Method</w:t>
      </w:r>
      <w:bookmarkEnd w:id="17"/>
    </w:p>
    <w:p>
      <w:pPr>
        <w:pStyle w:val="Heading2"/>
      </w:pPr>
      <w:bookmarkStart w:id="16" w:name="attention_weighted_residuals"/>
      <w:r>
        <w:rPr>
          <w:rStyle w:val="SectionNumber"/>
          <w:lang w:val="en-US"/>
        </w:rPr>
        <w:t xml:space="preserve">3.1</w:t>
      </w:r>
      <w:r>
        <w:tab/>
      </w:r>
      <w:r>
        <w:rPr>
          <w:lang w:val="en-US"/>
        </w:rPr>
        <w:t xml:space="preserve">Attention-weighted residuals</w:t>
      </w:r>
      <w:bookmarkEnd w:id="16"/>
    </w:p>
    <w:p>
      <w:pPr>
        <w:pStyle w:val="FirstParagraph"/>
      </w:pPr>
      <w:r>
        <w:rPr>
          <w:lang w:val="en-US"/>
        </w:rPr>
        <w:t xml:space="preserve">For</w:t>
      </w:r>
      <w:r>
        <w:rPr>
          <w:lang w:val="en-US"/>
        </w:rPr>
        <w:t xml:space="preserve"> </w:t>
      </w:r>
      <m:oMath>
        <m:sSub>
          <m:e>
            <m:r>
              <m:t>N</m:t>
            </m:r>
          </m:e>
          <m:sub>
            <m:r>
              <m:t>r</m:t>
            </m:r>
          </m:sub>
        </m:sSub>
      </m:oMath>
      <w:r>
        <w:rPr>
          <w:lang w:val="en-US"/>
        </w:rPr>
        <w:t xml:space="preserve"> </w:t>
      </w:r>
      <w:r>
        <w:rPr>
          <w:lang w:val="en-US"/>
        </w:rPr>
        <w:t xml:space="preserve">collocation points</w:t>
      </w:r>
      <w:r>
        <w:rPr>
          <w:lang w:val="en-US"/>
        </w:rPr>
        <w:t xml:space="preserve"> </w:t>
      </w:r>
      <m:oMath>
        <m:r>
          <m:rPr>
            <m:sty m:val="p"/>
          </m:rPr>
          <m:t>{</m:t>
        </m:r>
        <m:sSub>
          <m:e>
            <m:r>
              <m:rPr>
                <m:sty m:val="bi"/>
              </m:rP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}</m:t>
        </m:r>
      </m:oMath>
      <w:r>
        <w:rPr>
          <w:lang w:val="en-US"/>
        </w:rPr>
        <w:t xml:space="preserve">, the weights come from scaled dot-product attention over residual features:</w:t>
      </w:r>
    </w:p>
    <w:p>
      <w:pPr>
        <w:pStyle w:val="DFEquation"/>
      </w:pPr>
      <w:r>
        <w:tab/>
      </w:r>
      <m:oMath>
        <m:r>
          <m:rPr>
            <m:sty m:val="bi"/>
          </m:rPr>
          <m:t>λ</m:t>
        </m:r>
        <m:r>
          <m:rPr>
            <m:sty m:val="p"/>
          </m:rPr>
          <m:t>=</m:t>
        </m:r>
        <m:r>
          <m:rPr>
            <m:sty m:val="p"/>
          </m:rPr>
          <m:t>softmax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t>Q</m:t>
                </m:r>
                <m:sSup>
                  <m:e>
                    <m:r>
                      <m:t>K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num>
              <m:den>
                <m:rad>
                  <m:radPr>
                    <m:degHide m:val="on"/>
                  </m:radPr>
                  <m:deg/>
                  <m:e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rad>
              </m:den>
            </m:f>
          </m:e>
        </m:d>
        <m:r>
          <m:t>V</m:t>
        </m:r>
        <m:r>
          <m:rPr>
            <m:sty m:val="p"/>
          </m:rPr>
          <m:t>,</m:t>
        </m:r>
        <m:r>
          <m:t>  </m:t>
        </m:r>
        <m:r>
          <m:t>Q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11</m:t>
                      </m:r>
                    </m:sub>
                  </m:sSub>
                </m:e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12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m:t>⋯</m:t>
                  </m:r>
                </m:e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1</m:t>
                      </m:r>
                      <m:r>
                        <m:t>d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21</m:t>
                      </m:r>
                    </m:sub>
                  </m:sSub>
                </m:e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22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m:t>⋯</m:t>
                  </m:r>
                </m:e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2</m:t>
                      </m:r>
                      <m:r>
                        <m:t>d</m:t>
                      </m:r>
                    </m:sub>
                  </m:sSub>
                </m:e>
              </m:mr>
              <m:mr>
                <m:e>
                  <m:r>
                    <m:rPr>
                      <m:sty m:val="p"/>
                    </m:rPr>
                    <m:t>⋮</m:t>
                  </m:r>
                </m:e>
                <m:e>
                  <m:r>
                    <m:rPr>
                      <m:sty m:val="p"/>
                    </m:rPr>
                    <m:t>⋮</m:t>
                  </m:r>
                </m:e>
                <m:e>
                  <m:r>
                    <m:rPr>
                      <m:sty m:val="p"/>
                    </m:rPr>
                    <m:t>⋱</m:t>
                  </m:r>
                </m:e>
                <m:e>
                  <m:r>
                    <m:rPr>
                      <m:sty m:val="p"/>
                    </m:rPr>
                    <m:t>⋮</m:t>
                  </m:r>
                </m:e>
              </m:mr>
              <m:mr>
                <m:e>
                  <m:sSub>
                    <m:e>
                      <m:r>
                        <m:t>q</m:t>
                      </m:r>
                    </m:e>
                    <m:sub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r</m:t>
                          </m:r>
                        </m:sub>
                      </m:sSub>
                      <m:r>
                        <m:t>1</m:t>
                      </m:r>
                    </m:sub>
                  </m:sSub>
                </m:e>
                <m:e>
                  <m:sSub>
                    <m:e>
                      <m:r>
                        <m:t>q</m:t>
                      </m:r>
                    </m:e>
                    <m:sub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r</m:t>
                          </m:r>
                        </m:sub>
                      </m:sSub>
                      <m:r>
                        <m:t>2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m:t>⋯</m:t>
                  </m:r>
                </m:e>
                <m:e>
                  <m:sSub>
                    <m:e>
                      <m:r>
                        <m:t>q</m:t>
                      </m:r>
                    </m:e>
                    <m:sub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r</m:t>
                          </m:r>
                        </m:sub>
                      </m:sSub>
                      <m:r>
                        <m:t>d</m:t>
                      </m:r>
                    </m:sub>
                  </m:sSub>
                </m:e>
              </m:mr>
            </m:m>
          </m:e>
        </m:d>
      </m:oMath>
      <w:r>
        <w:tab/>
      </w:r>
      <w:bookmarkStart w:id="12" w:name="eq_attn"/>
      <w:r>
        <w:rPr>
          <w:lang w:val="en-US"/>
        </w:rPr>
        <w:t xml:space="preserve">(2)</w:t>
      </w:r>
      <w:bookmarkEnd w:id="12"/>
    </w:p>
    <w:p>
      <w:pPr>
        <w:pStyle w:val="BodyText"/>
      </w:pPr>
      <w:r>
        <w:rPr>
          <w:lang w:val="en-US"/>
        </w:rPr>
        <w:t xml:space="preserve">The total loss adds the weighted residual, the initial and boundary conditions and the divergence constraint:</w:t>
      </w:r>
    </w:p>
    <w:p>
      <w:pPr>
        <w:pStyle w:val="DFEquation"/>
      </w:pPr>
      <w:r>
        <w:tab/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limLow>
          <m:e>
            <m:limLow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t>N</m:t>
                        </m:r>
                      </m:e>
                      <m:sub>
                        <m:r>
                          <m:t>r</m:t>
                        </m:r>
                      </m:sub>
                    </m:sSub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sSub>
                      <m:e>
                        <m:r>
                          <m:t>N</m:t>
                        </m:r>
                      </m:e>
                      <m:sub>
                        <m:r>
                          <m:t>r</m:t>
                        </m:r>
                      </m:sub>
                    </m:sSub>
                  </m:sup>
                  <m:e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∥</m:t>
                </m:r>
                <m:sSub>
                  <m:e>
                    <m:r>
                      <m:rPr>
                        <m:sty m:val="bi"/>
                      </m:rPr>
                      <m:t>r</m:t>
                    </m:r>
                  </m:e>
                  <m:sub>
                    <m:r>
                      <m:t>θ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rPr>
                        <m:sty m:val="bi"/>
                      </m:rP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sSubSup>
                  <m:e>
                    <m:r>
                      <m:rPr>
                        <m:sty m:val="p"/>
                      </m:rPr>
                      <m:t>∥</m:t>
                    </m:r>
                  </m:e>
                  <m:sub>
                    <m:r>
                      <m:t>2</m:t>
                    </m:r>
                  </m:sub>
                  <m:sup>
                    <m:r>
                      <m:t>2</m:t>
                    </m:r>
                  </m:sup>
                </m:sSubSup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rPr>
                <m:nor/>
                <m:sty m:val="p"/>
              </m:rPr>
              <m:t>PDE residual</m:t>
            </m:r>
          </m:lim>
        </m:limLow>
        <m:r>
          <m:rPr>
            <m:sty m:val="p"/>
          </m:rPr>
          <m:t>+</m:t>
        </m:r>
        <m:limLow>
          <m:e>
            <m:limLow>
              <m:e>
                <m:f>
                  <m:fPr>
                    <m:type m:val="bar"/>
                  </m:fPr>
                  <m:num>
                    <m:r>
                      <m:t>β</m:t>
                    </m:r>
                  </m:num>
                  <m:den>
                    <m:sSub>
                      <m:e>
                        <m:r>
                          <m:t>N</m:t>
                        </m:r>
                      </m:e>
                      <m:sub>
                        <m:r>
                          <m:t>b</m:t>
                        </m:r>
                      </m:sub>
                    </m:sSub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sSub>
                      <m:e>
                        <m:r>
                          <m:t>N</m:t>
                        </m:r>
                      </m:e>
                      <m:sub>
                        <m:r>
                          <m:t>b</m:t>
                        </m:r>
                      </m:sub>
                    </m:sSub>
                  </m:sup>
                  <m:e>
                    <m:r>
                      <m:rPr>
                        <m:sty m:val="p"/>
                      </m:rPr>
                      <m:t>∥</m:t>
                    </m:r>
                  </m:e>
                </m:nary>
                <m:sSub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bi"/>
                          </m:rPr>
                          <m:t>u</m:t>
                        </m:r>
                      </m:e>
                    </m:acc>
                  </m:e>
                  <m:sub>
                    <m:r>
                      <m:t>θ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rPr>
                        <m:sty m:val="bi"/>
                      </m:rPr>
                      <m:t>x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t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rPr>
                        <m:sty m:val="bi"/>
                      </m:rPr>
                      <m:t>g</m:t>
                    </m:r>
                  </m:e>
                  <m:sub>
                    <m:r>
                      <m:t>j</m:t>
                    </m:r>
                  </m:sub>
                </m:sSub>
                <m:sSubSup>
                  <m:e>
                    <m:r>
                      <m:rPr>
                        <m:sty m:val="p"/>
                      </m:rPr>
                      <m:t>∥</m:t>
                    </m:r>
                  </m:e>
                  <m:sub>
                    <m:r>
                      <m:t>2</m:t>
                    </m:r>
                  </m:sub>
                  <m:sup>
                    <m:r>
                      <m:t>2</m:t>
                    </m:r>
                  </m:sup>
                </m:sSubSup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rPr>
                <m:nor/>
                <m:sty m:val="p"/>
              </m:rPr>
              <m:t>boundary</m:t>
            </m:r>
          </m:lim>
        </m:limLow>
        <m:r>
          <m:rPr>
            <m:sty m:val="p"/>
          </m:rPr>
          <m:t>+</m:t>
        </m:r>
        <m:r>
          <m:t>γ</m:t>
        </m:r>
        <m:nary>
          <m:naryPr>
            <m:chr m:val="∫"/>
            <m:limLoc m:val="subSup"/>
            <m:subHide m:val="off"/>
            <m:supHide m:val="on"/>
          </m:naryPr>
          <m:sub>
            <m:r>
              <m:rPr>
                <m:sty m:val="p"/>
              </m:rPr>
              <m:t>Ω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(</m:t>
            </m:r>
          </m:e>
        </m:nary>
        <m:r>
          <m:rPr>
            <m:sty m:val="p"/>
          </m:rPr>
          <m:t>∇</m:t>
        </m:r>
        <m:r>
          <m:rPr>
            <m:sty m:val="p"/>
          </m:rPr>
          <m:t>⋅</m:t>
        </m:r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r>
              <m:t>θ</m:t>
            </m:r>
          </m:sub>
        </m:sSub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t> </m:t>
        </m:r>
        <m:r>
          <m:rPr>
            <m:sty m:val="p"/>
          </m:rPr>
          <m:t>d</m:t>
        </m:r>
        <m:r>
          <m:rPr>
            <m:sty m:val="bi"/>
          </m:rPr>
          <m:t>x</m:t>
        </m:r>
      </m:oMath>
      <w:r>
        <w:tab/>
      </w:r>
      <w:bookmarkStart w:id="13" w:name="eq_loss"/>
      <w:r>
        <w:rPr>
          <w:lang w:val="en-US"/>
        </w:rPr>
        <w:t xml:space="preserve">(3)</w:t>
      </w:r>
      <w:bookmarkEnd w:id="13"/>
    </w:p>
    <w:p>
      <w:pPr>
        <w:pStyle w:val="BodyText"/>
      </w:pPr>
      <w:r>
        <w:rPr>
          <w:lang w:val="en-US"/>
        </w:rPr>
        <w:t xml:space="preserve">The learning rate follows a piecewise cosine schedule:</w:t>
      </w:r>
    </w:p>
    <w:p>
      <w:pPr>
        <w:pStyle w:val="DFEquation"/>
      </w:pPr>
      <w:r>
        <w:tab/>
      </w:r>
      <m:oMath>
        <m:r>
          <m:t>η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sSub>
                    <m:e>
                      <m:r>
                        <m:t>η</m:t>
                      </m:r>
                    </m:e>
                    <m:sub>
                      <m:r>
                        <m:t>0</m:t>
                      </m:r>
                    </m:sub>
                  </m:sSub>
                  <m:f>
                    <m:fPr>
                      <m:type m:val="bar"/>
                    </m:fPr>
                    <m:num>
                      <m:r>
                        <m:t>k</m:t>
                      </m:r>
                    </m:num>
                    <m:den>
                      <m:sSub>
                        <m:e>
                          <m:r>
                            <m:t>k</m:t>
                          </m:r>
                        </m:e>
                        <m:sub>
                          <m:r>
                            <m:t>w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m:t>,</m:t>
                  </m:r>
                </m:e>
                <m:e>
                  <m:r>
                    <m:t>0</m:t>
                  </m:r>
                  <m:r>
                    <m:rPr>
                      <m:sty m:val="p"/>
                    </m:rPr>
                    <m:t>≤</m:t>
                  </m:r>
                  <m:r>
                    <m:t>k</m:t>
                  </m:r>
                  <m:r>
                    <m:rPr>
                      <m:sty m:val="p"/>
                    </m:rPr>
                    <m:t>&lt;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w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</m:e>
              </m:mr>
              <m:mr>
                <m:e>
                  <m:sSub>
                    <m:e>
                      <m:r>
                        <m:t>η</m:t>
                      </m:r>
                    </m:e>
                    <m:sub>
                      <m:r>
                        <m:rPr>
                          <m:sty m:val="p"/>
                        </m:rPr>
                        <m:t>min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η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η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min</m:t>
                          </m:r>
                        </m:sub>
                      </m:sSub>
                    </m:num>
                    <m:den>
                      <m:r>
                        <m:t>2</m:t>
                      </m:r>
                    </m:den>
                  </m:f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cos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π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k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k</m:t>
                                  </m:r>
                                </m:e>
                                <m:sub>
                                  <m:r>
                                    <m:t>w</m:t>
                                  </m:r>
                                </m:sub>
                              </m:sSub>
                            </m:num>
                            <m:den>
                              <m:r>
                                <m:t>K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k</m:t>
                                  </m:r>
                                </m:e>
                                <m:sub>
                                  <m:r>
                                    <m:t>w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e>
                  </m:d>
                  <m:r>
                    <m:rPr>
                      <m:sty m:val="p"/>
                    </m:rPr>
                    <m:t>,</m:t>
                  </m:r>
                </m:e>
                <m:e>
                  <m:sSub>
                    <m:e>
                      <m:r>
                        <m:t>k</m:t>
                      </m:r>
                    </m:e>
                    <m:sub>
                      <m:r>
                        <m:t>w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k</m:t>
                  </m:r>
                  <m:r>
                    <m:rPr>
                      <m:sty m:val="p"/>
                    </m:rPr>
                    <m:t>≤</m:t>
                  </m:r>
                  <m:r>
                    <m:t>K</m:t>
                  </m:r>
                  <m:r>
                    <m:rPr>
                      <m:sty m:val="p"/>
                    </m:rPr>
                    <m:t>.</m:t>
                  </m:r>
                </m:e>
              </m:mr>
            </m:m>
          </m:e>
        </m:d>
      </m:oMath>
      <w:r>
        <w:tab/>
      </w:r>
      <w:bookmarkStart w:id="14" w:name="eq_lr"/>
      <w:r>
        <w:rPr>
          <w:lang w:val="en-US"/>
        </w:rPr>
        <w:t xml:space="preserve">(4)</w:t>
      </w:r>
      <w:bookmarkEnd w:id="14"/>
    </w:p>
    <w:p>
      <w:pPr>
        <w:pStyle w:val="DFPara2"/>
      </w:pPr>
      <w:r>
        <w:rPr>
          <w:b/>
          <w:bCs/>
          <w:lang w:val="en-US"/>
        </w:rPr>
        <w:t xml:space="preserve">Theorem 1 (error bound)</w:t>
      </w:r>
    </w:p>
    <w:p>
      <w:pPr>
        <w:pStyle w:val="DFPara1"/>
      </w:pPr>
      <w:r>
        <w:rPr>
          <w:lang w:val="en-US"/>
        </w:rPr>
        <w:t xml:space="preserve">Let the exact solution satisfy</w:t>
      </w:r>
      <w:r>
        <w:rPr>
          <w:lang w:val="en-US"/>
        </w:rPr>
        <w:t xml:space="preserve"> </w:t>
      </w:r>
      <m:oMath>
        <m:r>
          <m:rPr>
            <m:sty m:val="bi"/>
          </m:rPr>
          <m:t>u</m:t>
        </m:r>
        <m:r>
          <m:rPr>
            <m:sty m:val="p"/>
          </m:rPr>
          <m:t>∈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)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and let the network have width</w:t>
      </w:r>
      <w:r>
        <w:rPr>
          <w:lang w:val="en-US"/>
        </w:rPr>
        <w:t xml:space="preserve"> </w:t>
      </w:r>
      <m:oMath>
        <m:r>
          <m:t>m</m:t>
        </m:r>
      </m:oMath>
      <w:r>
        <w:rPr>
          <w:lang w:val="en-US"/>
        </w:rPr>
        <w:t xml:space="preserve">. If the training loss satisfies</w:t>
      </w:r>
      <w:r>
        <w:rPr>
          <w:lang w:val="en-US"/>
        </w:rP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sSup>
          <m:e>
            <m:r>
              <m:t>θ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≤</m:t>
        </m:r>
        <m:r>
          <m:t>ε</m:t>
        </m:r>
      </m:oMath>
      <w:r>
        <w:rPr>
          <w:lang w:val="en-US"/>
        </w:rPr>
        <w:t xml:space="preserve">, there is a constant</w:t>
      </w:r>
      <w:r>
        <w:rPr>
          <w:lang w:val="en-US"/>
        </w:rPr>
        <w:t xml:space="preserve"> </w:t>
      </w:r>
      <m:oMath>
        <m:r>
          <m:t>C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independent of</w:t>
      </w:r>
      <w:r>
        <w:rPr>
          <w:lang w:val="en-US"/>
        </w:rPr>
        <w:t xml:space="preserve"> </w:t>
      </w:r>
      <m:oMath>
        <m:r>
          <m:t>m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such that</w:t>
      </w:r>
    </w:p>
    <w:p>
      <w:pPr>
        <w:pStyle w:val="DFEquation"/>
      </w:pPr>
      <w:r>
        <w:tab/>
      </w:r>
      <m:oMath>
        <m:r>
          <m:rPr>
            <m:sty m:val="p"/>
          </m:rPr>
          <m:t>∥</m:t>
        </m:r>
        <m:r>
          <m:rPr>
            <m:sty m:val="bi"/>
          </m:rPr>
          <m:t>u</m:t>
        </m:r>
        <m:r>
          <m:rPr>
            <m:sty m:val="p"/>
          </m:rPr>
          <m:t>−</m:t>
        </m:r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sSup>
              <m:e>
                <m:r>
                  <m:t>θ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sub>
        </m:sSub>
        <m:sSub>
          <m:e>
            <m:r>
              <m:rPr>
                <m:sty m:val="p"/>
              </m:rPr>
              <m:t>∥</m:t>
            </m:r>
          </m:e>
          <m:sub>
            <m:sSup>
              <m:e>
                <m:r>
                  <m:t>L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(</m:t>
            </m:r>
            <m:r>
              <m:rPr>
                <m:sty m:val="p"/>
              </m:rPr>
              <m:t>Ω</m:t>
            </m:r>
            <m:r>
              <m:rPr>
                <m:sty m:val="p"/>
              </m:rPr>
              <m:t>)</m:t>
            </m:r>
          </m:sub>
        </m:sSub>
        <m:r>
          <m:t> </m:t>
        </m:r>
        <m:r>
          <m:rPr>
            <m:sty m:val="p"/>
          </m:rPr>
          <m:t>≤</m:t>
        </m:r>
        <m:r>
          <m:t> </m:t>
        </m:r>
        <m:r>
          <m:t>C</m:t>
        </m:r>
        <m:d>
          <m:dPr>
            <m:begChr m:val="("/>
            <m:sepChr m:val=""/>
            <m:endChr m:val=")"/>
            <m:grow/>
          </m:dPr>
          <m:e>
            <m:rad>
              <m:radPr>
                <m:degHide m:val="on"/>
              </m:radPr>
              <m:deg/>
              <m:e>
                <m:r>
                  <m:t>ε</m:t>
                </m:r>
              </m:e>
            </m:rad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ln</m:t>
                </m:r>
                <m:r>
                  <m:t>m</m:t>
                </m:r>
              </m:num>
              <m:den>
                <m:rad>
                  <m:radPr>
                    <m:degHide m:val="on"/>
                  </m:radPr>
                  <m:deg/>
                  <m:e>
                    <m:r>
                      <m:t>m</m:t>
                    </m:r>
                  </m:e>
                </m:rad>
              </m:den>
            </m:f>
          </m:e>
        </m:d>
        <m:r>
          <m:rPr>
            <m:sty m:val="p"/>
          </m:rPr>
          <m:t>exp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0</m:t>
                </m:r>
              </m:sub>
              <m:sup>
                <m:r>
                  <m:t>T</m:t>
                </m:r>
              </m:sup>
              <m:e>
                <m:sSub>
                  <m:e>
                    <m:d>
                      <m:dPr>
                        <m:begChr m:val="‖"/>
                        <m:sepChr m:val=""/>
                        <m:endChr m:val="‖"/>
                        <m:grow/>
                      </m:dPr>
                      <m:e>
                        <m:r>
                          <m:rPr>
                            <m:sty m:val="p"/>
                          </m:rPr>
                          <m:t>∇</m:t>
                        </m:r>
                        <m:r>
                          <m:rPr>
                            <m:sty m:val="bi"/>
                          </m:rPr>
                          <m:t>u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s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</m:e>
                  <m:sub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</m:sSup>
                  </m:sub>
                </m:sSub>
              </m:e>
            </m:nary>
            <m:r>
              <m:t> </m:t>
            </m:r>
            <m:r>
              <m:rPr>
                <m:sty m:val="p"/>
              </m:rPr>
              <m:t>d</m:t>
            </m:r>
            <m:r>
              <m:t>s</m:t>
            </m:r>
          </m:e>
        </m:d>
        <m:r>
          <m:rPr>
            <m:sty m:val="p"/>
          </m:rPr>
          <m:t>.</m:t>
        </m:r>
      </m:oMath>
      <w:r>
        <w:tab/>
      </w:r>
      <w:bookmarkStart w:id="15" w:name="eq_bound"/>
      <w:r>
        <w:rPr>
          <w:lang w:val="en-US"/>
        </w:rPr>
        <w:t xml:space="preserve">(5)</w:t>
      </w:r>
      <w:bookmarkEnd w:id="15"/>
    </w:p>
    <w:p>
      <w:pPr>
        <w:pStyle w:val="BodyText"/>
      </w:pPr>
      <w:r>
        <w:rPr>
          <w:i/>
          <w:iCs/>
          <w:lang w:val="en-US"/>
        </w:rPr>
        <w:t xml:space="preserve">Proof sketch.</w:t>
      </w:r>
      <w:r>
        <w:rPr>
          <w:lang w:val="en-US"/>
        </w:rPr>
        <w:t xml:space="preserve"> </w:t>
      </w:r>
      <w:r>
        <w:rPr>
          <w:lang w:val="en-US"/>
        </w:rPr>
        <w:t xml:space="preserve">An energy estimate for the error</w:t>
      </w:r>
      <w:r>
        <w:rPr>
          <w:lang w:val="en-US"/>
        </w:rPr>
        <w:t xml:space="preserve"> </w:t>
      </w:r>
      <m:oMath>
        <m:r>
          <m:rPr>
            <m:sty m:val="bi"/>
          </m:rPr>
          <m:t>e</m:t>
        </m:r>
        <m:r>
          <m:rPr>
            <m:sty m:val="p"/>
          </m:rPr>
          <m:t>=</m:t>
        </m:r>
        <m:r>
          <m:rPr>
            <m:sty m:val="bi"/>
          </m:rPr>
          <m:t>u</m:t>
        </m:r>
        <m:r>
          <m:rPr>
            <m:sty m:val="p"/>
          </m:rPr>
          <m:t>−</m:t>
        </m:r>
        <m:acc>
          <m:accPr>
            <m:chr m:val="̂"/>
          </m:accPr>
          <m:e>
            <m:r>
              <m:rPr>
                <m:sty m:val="bi"/>
              </m:rPr>
              <m:t>u</m:t>
            </m:r>
          </m:e>
        </m:acc>
      </m:oMath>
      <w:r>
        <w:rPr>
          <w:lang w:val="en-US"/>
        </w:rPr>
        <w:t xml:space="preserve"> </w:t>
      </w:r>
      <w:r>
        <w:rPr>
          <w:lang w:val="en-US"/>
        </w:rPr>
        <w:t xml:space="preserve">and Grönwall’s inequality give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</m:num>
                <m:den>
                  <m:r>
                    <m:rPr>
                      <m:sty m:val="p"/>
                    </m:rPr>
                    <m:t>d</m:t>
                  </m:r>
                  <m:r>
                    <m:t>t</m:t>
                  </m:r>
                </m:den>
              </m:f>
              <m:sSup>
                <m:e>
                  <m:d>
                    <m:dPr>
                      <m:begChr m:val="‖"/>
                      <m:sepChr m:val=""/>
                      <m:endChr m:val="‖"/>
                      <m:grow/>
                    </m:dPr>
                    <m:e>
                      <m:r>
                        <m:rPr>
                          <m:sty m:val="bi"/>
                        </m:rPr>
                        <m:t>e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ν</m:t>
              </m:r>
              <m:sSup>
                <m:e>
                  <m:d>
                    <m:dPr>
                      <m:begChr m:val="‖"/>
                      <m:sepChr m:val=""/>
                      <m:endChr m:val="‖"/>
                      <m:grow/>
                    </m:dPr>
                    <m:e>
                      <m:r>
                        <m:rPr>
                          <m:sty m:val="p"/>
                        </m:rPr>
                        <m:t>∇</m:t>
                      </m:r>
                      <m:r>
                        <m:rPr>
                          <m:sty m:val="bi"/>
                        </m:rPr>
                        <m:t>e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sSub>
                <m:e>
                  <m:d>
                    <m:dPr>
                      <m:begChr m:val="‖"/>
                      <m:sepChr m:val=""/>
                      <m:endChr m:val="‖"/>
                      <m:grow/>
                    </m:dPr>
                    <m:e>
                      <m:r>
                        <m:rPr>
                          <m:sty m:val="p"/>
                        </m:rPr>
                        <m:t>∇</m:t>
                      </m:r>
                      <m:r>
                        <m:rPr>
                          <m:sty m:val="bi"/>
                        </m:rPr>
                        <m:t>u</m:t>
                      </m:r>
                    </m:e>
                  </m:d>
                </m:e>
                <m:sub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</m:sSup>
                </m:sub>
              </m:sSub>
              <m:sSup>
                <m:e>
                  <m:d>
                    <m:dPr>
                      <m:begChr m:val="‖"/>
                      <m:sepChr m:val=""/>
                      <m:endChr m:val="‖"/>
                      <m:grow/>
                    </m:dPr>
                    <m:e>
                      <m:r>
                        <m:rPr>
                          <m:sty m:val="bi"/>
                        </m:rPr>
                        <m:t>e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d>
                <m:dPr>
                  <m:begChr m:val="‖"/>
                  <m:sepChr m:val=""/>
                  <m:endChr m:val="‖"/>
                  <m:grow/>
                </m:dPr>
                <m:e>
                  <m:r>
                    <m:rPr>
                      <m:sty m:val="bi"/>
                    </m:rPr>
                    <m:t>r</m:t>
                  </m:r>
                </m:e>
              </m:d>
              <m:r>
                <m:t> </m:t>
              </m:r>
              <m:d>
                <m:dPr>
                  <m:begChr m:val="‖"/>
                  <m:sepChr m:val=""/>
                  <m:endChr m:val="‖"/>
                  <m:grow/>
                </m:dPr>
                <m:e>
                  <m:r>
                    <m:rPr>
                      <m:sty m:val="bi"/>
                    </m:rPr>
                    <m:t>e</m:t>
                  </m:r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d>
                        <m:dPr>
                          <m:begChr m:val="‖"/>
                          <m:sepChr m:val=""/>
                          <m:endChr m:val="‖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∇</m:t>
                          </m:r>
                          <m:r>
                            <m:rPr>
                              <m:sty m:val="bi"/>
                            </m:rPr>
                            <m:t>u</m:t>
                          </m:r>
                        </m:e>
                      </m:d>
                    </m:e>
                    <m:sub>
                      <m:sSup>
                        <m:e>
                          <m:r>
                            <m:t>L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∞</m:t>
                          </m:r>
                        </m:sup>
                      </m:sSup>
                    </m:sub>
                  </m:sSub>
                  <m:r>
                    <m:rPr>
                      <m:sty m:val="p"/>
                    </m:rPr>
                    <m:t>+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d>
                    <m:dPr>
                      <m:begChr m:val="‖"/>
                      <m:sepChr m:val=""/>
                      <m:endChr m:val="‖"/>
                      <m:grow/>
                    </m:dPr>
                    <m:e>
                      <m:r>
                        <m:rPr>
                          <m:sty m:val="bi"/>
                        </m:rPr>
                        <m:t>e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p>
                <m:e>
                  <m:d>
                    <m:dPr>
                      <m:begChr m:val="‖"/>
                      <m:sepChr m:val=""/>
                      <m:endChr m:val="‖"/>
                      <m:grow/>
                    </m:dPr>
                    <m:e>
                      <m:r>
                        <m:rPr>
                          <m:sty m:val="bi"/>
                        </m:rPr>
                        <m:t>r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lang w:val="en-US"/>
        </w:rPr>
        <w:t xml:space="preserve">Integrating and substituting</w:t>
      </w:r>
      <w:r>
        <w:rPr>
          <w:lang w:val="en-US"/>
        </w:rPr>
        <w:t xml:space="preserve"> </w:t>
      </w:r>
      <w:hyperlink w:anchor="eq_loss">
        <w:r>
          <w:rPr>
            <w:rStyle w:val="Hyperlink"/>
            <w:lang w:val="en-US"/>
          </w:rPr>
          <w:t xml:space="preserve">Eq. (3)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yields</w:t>
      </w:r>
      <w:r>
        <w:rPr>
          <w:lang w:val="en-US"/>
        </w:rPr>
        <w:t xml:space="preserve"> </w:t>
      </w:r>
      <w:hyperlink w:anchor="eq_bound">
        <w:r>
          <w:rPr>
            <w:rStyle w:val="Hyperlink"/>
            <w:lang w:val="en-US"/>
          </w:rPr>
          <w:t xml:space="preserve">Eq. (5)</w:t>
        </w:r>
      </w:hyperlink>
      <w:r>
        <w:rPr>
          <w:lang w:val="en-US"/>
        </w:rPr>
        <w:t xml:space="preserve">.</w:t>
      </w:r>
      <w:r>
        <w:rPr>
          <w:lang w:val="en-US"/>
        </w:rPr>
        <w:t xml:space="preserve"> </w:t>
      </w:r>
      <m:oMath>
        <m:r>
          <m:rPr>
            <m:sty m:val="p"/>
          </m:rPr>
          <m:t>◼</m:t>
        </m:r>
      </m:oMath>
    </w:p>
    <w:p>
      <w:pPr>
        <w:pStyle w:val="Heading1"/>
      </w:pPr>
      <w:bookmarkStart w:id="29" w:name="sec_exp"/>
      <w:r>
        <w:rPr>
          <w:rStyle w:val="SectionNumber"/>
          <w:lang w:val="en-US"/>
        </w:rPr>
        <w:t xml:space="preserve">4</w:t>
      </w:r>
      <w:r>
        <w:tab/>
      </w:r>
      <w:r>
        <w:rPr>
          <w:lang w:val="en-US"/>
        </w:rPr>
        <w:t xml:space="preserve">Experiments</w:t>
      </w:r>
      <w:bookmarkEnd w:id="29"/>
    </w:p>
    <w:p>
      <w:pPr>
        <w:pStyle w:val="FirstParagraph"/>
      </w:pPr>
      <w:r>
        <w:rPr>
          <w:lang w:val="en-US"/>
        </w:rPr>
        <w:t xml:space="preserve">We test on flow past a cylinder (</w:t>
      </w:r>
      <m:oMath>
        <m:r>
          <m:rPr>
            <m:sty m:val="p"/>
          </m:rPr>
          <m:t>R</m:t>
        </m:r>
        <m:r>
          <m:rPr>
            <m:sty m:val="p"/>
          </m:rPr>
          <m:t>e</m:t>
        </m:r>
        <m:r>
          <m:rPr>
            <m:sty m:val="p"/>
          </m:rPr>
          <m:t>=</m:t>
        </m:r>
        <m:r>
          <m:t>U</m:t>
        </m:r>
        <m:r>
          <m:t>D</m:t>
        </m:r>
        <m:r>
          <m:rPr>
            <m:sty m:val="p"/>
          </m:rPr>
          <m:t>/</m:t>
        </m:r>
        <m:r>
          <m:t>ν</m:t>
        </m:r>
        <m:r>
          <m:rPr>
            <m:sty m:val="p"/>
          </m:rPr>
          <m:t>=</m:t>
        </m:r>
        <m:r>
          <m:t>3</m:t>
        </m:r>
        <m:r>
          <m:t> </m:t>
        </m:r>
        <m:r>
          <m:t>900</m:t>
        </m:r>
      </m:oMath>
      <w:r>
        <w:rPr>
          <w:lang w:val="en-US"/>
        </w:rPr>
        <w:t xml:space="preserve">) with a network of 8 layers of 128 neurons</w:t>
      </w:r>
      <w:r>
        <w:rPr>
          <w:rStyle w:val="FootnoteReference"/>
        </w:rPr>
        <w:footnoteReference w:id="18"/>
      </w:r>
      <w:r>
        <w:rPr>
          <w:lang w:val="en-US"/>
        </w:rPr>
        <w:t xml:space="preserve">.</w:t>
      </w:r>
    </w:p>
    <w:p>
      <w:pPr>
        <w:pStyle w:val="TableCaption"/>
      </w:pPr>
      <w:bookmarkStart w:id="20" w:name="tbl_cmp"/>
      <w:bookmarkStart w:id="19" w:name="tbl_cmp"/>
      <w:r>
        <w:rPr>
          <w:lang w:val="en-US"/>
        </w:rPr>
        <w:t xml:space="preserve">Table </w:t>
      </w:r>
      <w:fldSimple w:instr="SEQ Table \* ARABIC ">
        <w:r>
          <w:t>1</w:t>
        </w:r>
      </w:fldSimple>
      <w:bookmarkEnd w:id="19"/>
      <w:r>
        <w:rPr>
          <w:lang w:val="en-US"/>
        </w:rPr>
        <w:t xml:space="preserve">. Error and training cost of each method</w:t>
      </w:r>
      <w:bookmarkEnd w:id="20"/>
    </w:p>
    <w:tbl>
      <w:tblPr>
        <w:tblStyle w:val="Table"/>
        <w:tblW w:type="dxa" w:w="7916"/>
        <w:jc w:val="center"/>
        <w:tblBorders>
          <w:top w:val="single" w:sz="12" w:space="0" w:color="000000"/>
          <w:left w:val="nil" w:sz="0" w:space="0" w:color="auto"/>
          <w:bottom w:val="single" w:sz="12" w:space="0" w:color="000000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Error and training cost of each method"/>
      </w:tblPr>
      <w:tblGrid>
        <w:gridCol w:w="2788"/>
        <w:gridCol w:w="780"/>
        <w:gridCol w:w="780"/>
        <w:gridCol w:w="780"/>
        <w:gridCol w:w="1227"/>
        <w:gridCol w:w="1561"/>
      </w:tblGrid>
      <w:tr>
        <w:trPr>
          <w:cantSplit/>
          <w:tblHeader w:val="on"/>
        </w:trPr>
        <w:tc>
          <w:tcPr>
            <w:vMerge w:val="restart"/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000000"/>
                <w:lang w:val="en-US"/>
              </w:rPr>
              <w:t xml:space="preserve">Method</w:t>
            </w:r>
          </w:p>
        </w:tc>
        <w:tc>
          <w:tcPr>
            <w:gridSpan w:val="3"/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center"/>
            </w:pPr>
            <w:r>
              <w:rPr>
                <w:b/>
                <w:bCs/>
                <w:color w:val="000000"/>
                <w:lang w:val="en-US"/>
              </w:rPr>
              <w:t xml:space="preserve">Relative</w:t>
            </w:r>
            <w:r>
              <w:rPr>
                <w:b/>
                <w:bCs/>
                <w:color w:val="000000"/>
                <w:lang w:val="en-US"/>
              </w:rP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rPr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 xml:space="preserve">error (</w:t>
            </w:r>
            <m:oMath>
              <m:r>
                <m:rPr>
                  <m:sty m:val="p"/>
                </m:rPr>
                <m:t>×</m:t>
              </m:r>
              <m:sSup>
                <m:e>
                  <m:r>
                    <m:t>10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p>
              </m:sSup>
            </m:oMath>
            <w:r>
              <w:rPr>
                <w:b/>
                <w:bCs/>
                <w:color w:val="000000"/>
                <w:lang w:val="en-US"/>
              </w:rPr>
              <w:t xml:space="preserve">)</w:t>
            </w:r>
          </w:p>
        </w:tc>
        <w:tc>
          <w:tcPr>
            <w:gridSpan w:val="2"/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center"/>
            </w:pPr>
            <w:r>
              <w:rPr>
                <w:b/>
                <w:bCs/>
                <w:color w:val="000000"/>
                <w:lang w:val="en-US"/>
              </w:rPr>
              <w:t xml:space="preserve">Training cost</w:t>
            </w:r>
          </w:p>
        </w:tc>
      </w:tr>
      <w:tr>
        <w:trPr>
          <w:cantSplit/>
          <w:tblHeader w:val="on"/>
        </w:trPr>
        <w:tc>
          <w:tcPr>
            <w:gridSpan w:val="1"/>
            <w:vMerge w:val="continue"/>
            <w:tcBorders>
              <w:bottom w:val="single" w:sz="6" w:space="0" w:color="000000"/>
            </w:tcBorders>
            <w:vAlign w:val="center"/>
          </w:tcPr>
          <w:p>
            <w:pPr/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m:oMath>
              <m:r>
                <m:t>u</m:t>
              </m:r>
            </m:oMath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m:oMath>
              <m:r>
                <m:t>v</m:t>
              </m:r>
            </m:oMath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m:oMath>
              <m:r>
                <m:t>p</m:t>
              </m:r>
            </m:oMath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000000"/>
                <w:lang w:val="en-US"/>
              </w:rPr>
              <w:t xml:space="preserve">Time (h)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000000"/>
                <w:lang w:val="en-US"/>
              </w:rPr>
              <w:t xml:space="preserve">Memory (GB)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PINN</w:t>
            </w:r>
            <w:r>
              <w:rPr>
                <w:vertAlign w:val="superscript"/>
                <w:lang w:val="en-US"/>
              </w:rPr>
              <w:t xml:space="preserve">[</w:t>
            </w:r>
            <w:hyperlink w:anchor="ref_raissi2019">
              <w:r>
                <w:rPr>
                  <w:rStyle w:val="Hyperlink"/>
                  <w:vertAlign w:val="superscript"/>
                  <w:lang w:val="en-US"/>
                </w:rPr>
                <w:t xml:space="preserve">1</w:t>
              </w:r>
            </w:hyperlink>
            <w:r>
              <w:rPr>
                <w:vertAlign w:val="superscript"/>
                <w:lang w:val="en-US"/>
              </w:rPr>
              <w:t xml:space="preserve">]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18.6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24.1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41.7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9.8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6.2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GradNorm-PINN</w:t>
            </w:r>
            <w:r>
              <w:rPr>
                <w:vertAlign w:val="superscript"/>
                <w:lang w:val="en-US"/>
              </w:rPr>
              <w:t xml:space="preserve">[</w:t>
            </w:r>
            <w:hyperlink w:anchor="ref_wang2021">
              <w:r>
                <w:rPr>
                  <w:rStyle w:val="Hyperlink"/>
                  <w:vertAlign w:val="superscript"/>
                  <w:lang w:val="en-US"/>
                </w:rPr>
                <w:t xml:space="preserve">3</w:t>
              </w:r>
            </w:hyperlink>
            <w:r>
              <w:rPr>
                <w:vertAlign w:val="superscript"/>
                <w:lang w:val="en-US"/>
              </w:rPr>
              <w:t xml:space="preserve">]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6.4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8.9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15.2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11.3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6.9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FNO</w:t>
            </w:r>
            <w:r>
              <w:rPr>
                <w:vertAlign w:val="superscript"/>
                <w:lang w:val="en-US"/>
              </w:rPr>
              <w:t xml:space="preserve">[</w:t>
            </w:r>
            <w:hyperlink w:anchor="ref_li2021">
              <w:r>
                <w:rPr>
                  <w:rStyle w:val="Hyperlink"/>
                  <w:vertAlign w:val="superscript"/>
                  <w:lang w:val="en-US"/>
                </w:rPr>
                <w:t xml:space="preserve">4</w:t>
              </w:r>
            </w:hyperlink>
            <w:r>
              <w:rPr>
                <w:vertAlign w:val="superscript"/>
                <w:lang w:val="en-US"/>
              </w:rPr>
              <w:t xml:space="preserve">]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3.1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4.0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7.7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7.6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14.5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en-US"/>
              </w:rPr>
              <w:t xml:space="preserve">Attn-PINN (ours)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1.7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2.2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4.9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5.8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7.4</w:t>
            </w:r>
          </w:p>
        </w:tc>
      </w:tr>
    </w:tbl>
    <w:tbl>
      <w:tblPr>
        <w:tblStyle w:val="FigureTable"/>
        <w:tblW w:type="pct" w:w="5000"/>
        <w:jc w:val="center"/>
        <w:tblBorders>
          <w:top w:val="single" w:sz="12" w:space="0" w:color="000000"/>
          <w:left w:val="nil" w:sz="0" w:space="0" w:color="auto"/>
          <w:bottom w:val="single" w:sz="12" w:space="0" w:color="000000"/>
          <w:right w:val="nil" w:sz="0" w:space="0" w:color="auto"/>
          <w:insideH w:val="nil" w:sz="0" w:space="0" w:color="auto"/>
          <w:insideV w:val="nil" w:sz="0" w:space="0" w:color="auto"/>
        </w:tblBorders>
        <w:tblCellMar>
          <w:top w:w="50" w:type="dxa"/>
          <w:left w:w="100" w:type="dxa"/>
          <w:bottom w:w="50" w:type="dxa"/>
          <w:right w:w="100" w:type="dxa"/>
        </w:tblCellMar>
        <w:tblLook w:firstRow="0" w:lastRow="0" w:firstColumn="0" w:lastColumn="0"/>
      </w:tblPr>
      <w:tblGrid>
        <w:gridCol w:w="3960"/>
        <w:gridCol w:w="3960"/>
      </w:tblGrid>
      <w:tr>
        <w:trPr>
          <w:cantSplit/>
        </w:trPr>
        <w:tc>
          <w:tcPr>
            <w:vAlign w:val="center"/>
          </w:tcPr>
          <w:tbl>
            <w:tblPr>
              <w:tblStyle w:val="FigureTable"/>
              <w:tblW w:type="pct" w:w="5000"/>
              <w:jc w:val="center"/>
              <w:tblBorders>
                <w:top w:val="single" w:sz="12" w:space="0" w:color="000000"/>
                <w:left w:val="nil" w:sz="0" w:space="0" w:color="auto"/>
                <w:bottom w:val="single" w:sz="12" w:space="0" w:color="000000"/>
                <w:right w:val="nil" w:sz="0" w:space="0" w:color="auto"/>
                <w:insideH w:val="nil" w:sz="0" w:space="0" w:color="auto"/>
                <w:insideV w:val="nil" w:sz="0" w:space="0" w:color="auto"/>
              </w:tblBorders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firstRow="0" w:lastRow="0" w:firstColumn="0" w:lastColumn="0"/>
            </w:tblPr>
            <w:tblGrid>
              <w:gridCol w:w="7920"/>
            </w:tblGrid>
            <w:tr>
              <w:trPr>
                <w:cantSplit/>
              </w:trPr>
              <w:tc>
                <w:tcPr>
                  <w:vAlign w:val="center"/>
                </w:tcPr>
                <w:p>
                  <w:pPr>
                    <w:pStyle w:val="DFTableText"/>
                    <w:jc w:val="center"/>
                    <w:jc w:val="center"/>
                  </w:pPr>
                  <w:bookmarkStart w:id="28" w:name="fig_result"/>
                  <w:r>
                    <w:drawing>
                      <wp:inline>
                        <wp:extent cx="2819019" cy="1246873"/>
                        <wp:effectExtent b="0" l="0" r="0" t="0"/>
                        <wp:docPr descr="Vorticity predicted by Attn-PINN" title="" id="22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/var/folders/bl/5n_h09gn4dsd1gktj5qcv54w0000gn/T/docforge-tz8qucig/media-docx/image1.png" id="23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019" cy="12468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End w:id="28"/>
                </w:p>
                <w:p>
                  <w:pPr>
                    <w:pStyle w:val="DFTableText"/>
                    <w:jc w:val="center"/>
                    <w:jc w:val="center"/>
                  </w:pPr>
                  <w:r>
                    <w:rPr>
                      <w:lang w:val="en-US"/>
                    </w:rPr>
                    <w:t xml:space="preserve">(a) Vorticity predicted by Attn-PINN</w:t>
                  </w:r>
                </w:p>
              </w:tc>
            </w:tr>
          </w:tbl>
          <w:p/>
        </w:tc>
        <w:tc>
          <w:tcPr>
            <w:vAlign w:val="center"/>
          </w:tcPr>
          <w:tbl>
            <w:tblPr>
              <w:tblStyle w:val="FigureTable"/>
              <w:tblW w:type="pct" w:w="5000"/>
              <w:jc w:val="center"/>
              <w:tblBorders>
                <w:top w:val="single" w:sz="12" w:space="0" w:color="000000"/>
                <w:left w:val="nil" w:sz="0" w:space="0" w:color="auto"/>
                <w:bottom w:val="single" w:sz="12" w:space="0" w:color="000000"/>
                <w:right w:val="nil" w:sz="0" w:space="0" w:color="auto"/>
                <w:insideH w:val="nil" w:sz="0" w:space="0" w:color="auto"/>
                <w:insideV w:val="nil" w:sz="0" w:space="0" w:color="auto"/>
              </w:tblBorders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firstRow="0" w:lastRow="0" w:firstColumn="0" w:lastColumn="0"/>
            </w:tblPr>
            <w:tblGrid>
              <w:gridCol w:w="7920"/>
            </w:tblGrid>
            <w:tr>
              <w:trPr>
                <w:cantSplit/>
              </w:trPr>
              <w:tc>
                <w:tcPr>
                  <w:vAlign w:val="center"/>
                </w:tcPr>
                <w:p>
                  <w:pPr>
                    <w:pStyle w:val="DFTableText"/>
                    <w:jc w:val="center"/>
                    <w:jc w:val="center"/>
                  </w:pPr>
                  <w:r>
                    <w:drawing>
                      <wp:inline>
                        <wp:extent cx="2819019" cy="1246873"/>
                        <wp:effectExtent b="0" l="0" r="0" t="0"/>
                        <wp:docPr descr="Loss during training" title="" id="2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/var/folders/bl/5n_h09gn4dsd1gktj5qcv54w0000gn/T/docforge-tz8qucig/media-docx/image2.png" id="2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019" cy="12468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DFTableText"/>
                    <w:jc w:val="center"/>
                    <w:jc w:val="center"/>
                  </w:pPr>
                  <w:r>
                    <w:rPr>
                      <w:lang w:val="en-US"/>
                    </w:rPr>
                    <w:t xml:space="preserve">(b) Loss during training</w:t>
                  </w:r>
                </w:p>
              </w:tc>
            </w:tr>
          </w:tbl>
          <w:p/>
        </w:tc>
      </w:tr>
    </w:tbl>
    <w:p>
      <w:pPr>
        <w:pStyle w:val="ImageCaption"/>
      </w:pPr>
      <w:bookmarkStart w:id="27" w:name="ref_fig_result"/>
      <w:r>
        <w:rPr>
          <w:lang w:val="en-US"/>
        </w:rPr>
        <w:t xml:space="preserve">Figure </w:t>
      </w:r>
      <w:fldSimple w:instr="SEQ Figure \* ARABIC ">
        <w:r>
          <w:t>1</w:t>
        </w:r>
      </w:fldSimple>
      <w:bookmarkEnd w:id="27"/>
      <w:r>
        <w:rPr>
          <w:lang w:val="en-US"/>
        </w:rPr>
        <w:t xml:space="preserve">. Flow past a cylinder: Attn-PINN reproduces the Kármán vortex street</w:t>
      </w:r>
    </w:p>
    <w:p>
      <w:pPr>
        <w:pStyle w:val="BodyText"/>
      </w:pPr>
      <w:r>
        <w:rPr>
          <w:lang w:val="en-US"/>
        </w:rPr>
        <w:t xml:space="preserve">As</w:t>
      </w:r>
      <w:r>
        <w:rPr>
          <w:lang w:val="en-US"/>
        </w:rPr>
        <w:t xml:space="preserve"> </w:t>
      </w:r>
      <w:hyperlink w:anchor="tbl_cmp">
        <w:r>
          <w:rPr>
            <w:rStyle w:val="Hyperlink"/>
            <w:lang w:val="en-US"/>
          </w:rPr>
          <w:t xml:space="preserve">Table 1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shows, Attn-PINN has the lowest error on all three fields and trains 41% faster than the baseline PINN (</w:t>
      </w:r>
      <w:hyperlink w:anchor="fig_result">
        <w:r>
          <w:rPr>
            <w:rStyle w:val="Hyperlink"/>
            <w:lang w:val="en-US"/>
          </w:rPr>
          <w:t xml:space="preserve">Figure 1</w:t>
        </w:r>
      </w:hyperlink>
      <w:r>
        <w:rPr>
          <w:lang w:val="en-US"/>
        </w:rPr>
        <w:t xml:space="preserve">).</w:t>
      </w:r>
    </w:p>
    <w:p>
      <w:pPr>
        <w:pStyle w:val="Heading1"/>
      </w:pPr>
      <w:bookmarkStart w:id="30" w:name="conclusion"/>
      <w:r>
        <w:rPr>
          <w:rStyle w:val="SectionNumber"/>
          <w:lang w:val="en-US"/>
        </w:rPr>
        <w:t xml:space="preserve">5</w:t>
      </w:r>
      <w:r>
        <w:tab/>
      </w:r>
      <w:r>
        <w:rPr>
          <w:lang w:val="en-US"/>
        </w:rPr>
        <w:t xml:space="preserve">Conclusion</w:t>
      </w:r>
      <w:bookmarkEnd w:id="30"/>
    </w:p>
    <w:p>
      <w:pPr>
        <w:pStyle w:val="FirstParagraph"/>
      </w:pPr>
      <w:r>
        <w:rPr>
          <w:lang w:val="en-US"/>
        </w:rPr>
        <w:t xml:space="preserve">Attn-PINN balances the residual weights with an attention mechanism, comes with an error bound (</w:t>
      </w:r>
      <w:hyperlink w:anchor="eq_bound">
        <w:r>
          <w:rPr>
            <w:rStyle w:val="Hyperlink"/>
            <w:lang w:val="en-US"/>
          </w:rPr>
          <w:t xml:space="preserve">Eq. (5)</w:t>
        </w:r>
      </w:hyperlink>
      <w:r>
        <w:rPr>
          <w:lang w:val="en-US"/>
        </w:rPr>
        <w:t xml:space="preserve">), and clearly outperforms existing methods on a high-Reynolds-number benchmark.</w:t>
      </w:r>
    </w:p>
    <w:p>
      <w:pPr>
        <w:pStyle w:val="Heading1"/>
      </w:pPr>
      <w:bookmarkStart w:id="40" w:name="references"/>
      <w:r>
        <w:rPr>
          <w:lang w:val="en-US"/>
        </w:rPr>
        <w:t xml:space="preserve">References</w:t>
      </w:r>
      <w:bookmarkEnd w:id="40"/>
    </w:p>
    <w:p>
      <w:pPr>
        <w:pStyle w:val="Bibliography"/>
      </w:pPr>
      <w:bookmarkStart w:id="32" w:name="ref_raissi2019"/>
      <w:bookmarkStart w:id="39" w:name="refs"/>
      <w:r>
        <w:rPr>
          <w:lang w:val="en-US"/>
        </w:rPr>
        <w:t xml:space="preserve">[1]</w:t>
      </w:r>
      <w:r>
        <w:rPr>
          <w:lang w:val="en-US"/>
        </w:rPr>
        <w:t xml:space="preserve"> </w:t>
      </w:r>
      <w:r>
        <w:t xml:space="preserve">	</w:t>
      </w:r>
      <w:r>
        <w:rPr>
          <w:lang w:val="en-US"/>
        </w:rPr>
        <w:t xml:space="preserve">RAISSI M, PERDIKARIS P, KARNIADAKIS G E. Physics-informed neural networks: A deep learning framework for solving forward and inverse problems involving nonlinear partial differential equations[J/OL]. Journal of Computational Physics, 2019, 378: 686-707. DOI:</w:t>
      </w:r>
      <w:hyperlink r:id="rId31">
        <w:r>
          <w:rPr>
            <w:rStyle w:val="Hyperlink"/>
            <w:lang w:val="en-US"/>
          </w:rPr>
          <w:t xml:space="preserve">10.1016/j.jcp.2018.10.045</w:t>
        </w:r>
      </w:hyperlink>
      <w:r>
        <w:rPr>
          <w:lang w:val="en-US"/>
        </w:rPr>
        <w:t xml:space="preserve">.</w:t>
      </w:r>
      <w:bookmarkEnd w:id="39"/>
      <w:bookmarkEnd w:id="32"/>
    </w:p>
    <w:p>
      <w:pPr>
        <w:pStyle w:val="Bibliography"/>
      </w:pPr>
      <w:bookmarkStart w:id="34" w:name="ref_karniadakis2021"/>
      <w:r>
        <w:rPr>
          <w:lang w:val="en-US"/>
        </w:rPr>
        <w:t xml:space="preserve">[2]</w:t>
      </w:r>
      <w:r>
        <w:rPr>
          <w:lang w:val="en-US"/>
        </w:rPr>
        <w:t xml:space="preserve"> </w:t>
      </w:r>
      <w:r>
        <w:t xml:space="preserve">	</w:t>
      </w:r>
      <w:r>
        <w:rPr>
          <w:lang w:val="en-US"/>
        </w:rPr>
        <w:t xml:space="preserve">KARNIADAKIS G E, KEVREKIDIS I G, LU L, et al. Physics-informed machine learning[J/OL]. Nature Reviews Physics, 2021, 3(6): 422-440. DOI:</w:t>
      </w:r>
      <w:hyperlink r:id="rId33">
        <w:r>
          <w:rPr>
            <w:rStyle w:val="Hyperlink"/>
            <w:lang w:val="en-US"/>
          </w:rPr>
          <w:t xml:space="preserve">10.1038/s42254-021-00314-5</w:t>
        </w:r>
      </w:hyperlink>
      <w:r>
        <w:rPr>
          <w:lang w:val="en-US"/>
        </w:rPr>
        <w:t xml:space="preserve">.</w:t>
      </w:r>
      <w:bookmarkEnd w:id="34"/>
    </w:p>
    <w:p>
      <w:pPr>
        <w:pStyle w:val="Bibliography"/>
      </w:pPr>
      <w:bookmarkStart w:id="36" w:name="ref_wang2021"/>
      <w:r>
        <w:rPr>
          <w:lang w:val="en-US"/>
        </w:rPr>
        <w:t xml:space="preserve">[3]</w:t>
      </w:r>
      <w:r>
        <w:rPr>
          <w:lang w:val="en-US"/>
        </w:rPr>
        <w:t xml:space="preserve"> </w:t>
      </w:r>
      <w:r>
        <w:t xml:space="preserve">	</w:t>
      </w:r>
      <w:r>
        <w:rPr>
          <w:lang w:val="en-US"/>
        </w:rPr>
        <w:t xml:space="preserve">WANG S, TENG Y, PERDIKARIS P. Understanding and mitigating gradient flow pathologies in physics-informed neural networks[J/OL]. SIAM Journal on Scientific Computing, 2021, 43(5): A3055-A3081. DOI:</w:t>
      </w:r>
      <w:hyperlink r:id="rId35">
        <w:r>
          <w:rPr>
            <w:rStyle w:val="Hyperlink"/>
            <w:lang w:val="en-US"/>
          </w:rPr>
          <w:t xml:space="preserve">10.1137/20M1318043</w:t>
        </w:r>
      </w:hyperlink>
      <w:r>
        <w:rPr>
          <w:lang w:val="en-US"/>
        </w:rPr>
        <w:t xml:space="preserve">.</w:t>
      </w:r>
      <w:bookmarkEnd w:id="36"/>
    </w:p>
    <w:p>
      <w:pPr>
        <w:pStyle w:val="Bibliography"/>
      </w:pPr>
      <w:bookmarkStart w:id="37" w:name="ref_li2021"/>
      <w:r>
        <w:rPr>
          <w:lang w:val="en-US"/>
        </w:rPr>
        <w:t xml:space="preserve">[4]</w:t>
      </w:r>
      <w:r>
        <w:rPr>
          <w:lang w:val="en-US"/>
        </w:rPr>
        <w:t xml:space="preserve"> </w:t>
      </w:r>
      <w:r>
        <w:t xml:space="preserve">	</w:t>
      </w:r>
      <w:r>
        <w:rPr>
          <w:lang w:val="en-US"/>
        </w:rPr>
        <w:t xml:space="preserve">LI Z, KOVACHKI N, AZIZZADENESHELI K, et al. Fourier neural operator for parametric partial differential equations[C]//International conference on learning representations. 2021.</w:t>
      </w:r>
      <w:bookmarkEnd w:id="37"/>
    </w:p>
    <w:p>
      <w:pPr>
        <w:pStyle w:val="Bibliography"/>
      </w:pPr>
      <w:bookmarkStart w:id="38" w:name="ref_vaswani2017"/>
      <w:r>
        <w:rPr>
          <w:lang w:val="en-US"/>
        </w:rPr>
        <w:t xml:space="preserve">[5]</w:t>
      </w:r>
      <w:r>
        <w:rPr>
          <w:lang w:val="en-US"/>
        </w:rPr>
        <w:t xml:space="preserve"> </w:t>
      </w:r>
      <w:r>
        <w:t xml:space="preserve">	</w:t>
      </w:r>
      <w:r>
        <w:rPr>
          <w:lang w:val="en-US"/>
        </w:rPr>
        <w:t xml:space="preserve">VASWANI A, SHAZEER N, PARMAR N, et al. Attention is all you need[C]//Advances in neural information processing systems. 2017: 5998-6008.</w:t>
      </w:r>
      <w:bookmarkEnd w:id="38"/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rPr>
          <w:lang w:val="en-US"/>
        </w:rPr>
        <w:t xml:space="preserve"> </w:t>
      </w:r>
      <w:r>
        <w:rPr>
          <w:lang w:val="en-US"/>
        </w:rPr>
        <w:t xml:space="preserve">Activation</w:t>
      </w:r>
      <w:r>
        <w:rPr>
          <w:lang w:val="en-US"/>
        </w:rPr>
        <w:t xml:space="preserve"> </w:t>
      </w:r>
      <m:oMath>
        <m:r>
          <m:rPr>
            <m:sty m:val="p"/>
          </m:rPr>
          <m:t>tanh</m:t>
        </m:r>
      </m:oMath>
      <w:r>
        <w:rPr>
          <w:lang w:val="en-US"/>
        </w:rPr>
        <w:t xml:space="preserve">, Adam optimiser,</w:t>
      </w:r>
      <w:r>
        <w:rPr>
          <w:lang w:val="en-US"/>
        </w:rPr>
        <w:t xml:space="preserve"> </w:t>
      </w:r>
      <m:oMath>
        <m:sSub>
          <m:e>
            <m:r>
              <m:t>η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rPr>
          <w:lang w:val="en-US"/>
        </w:rPr>
        <w:t xml:space="preserve">,</w:t>
      </w:r>
      <w:r>
        <w:rPr>
          <w:lang w:val="en-US"/>
        </w:rPr>
        <w:t xml:space="preserve"> </w:t>
      </w:r>
      <m:oMath>
        <m:sSub>
          <m:e>
            <m:r>
              <m:t>k</m:t>
            </m:r>
          </m:e>
          <m:sub>
            <m:r>
              <m:t>w</m:t>
            </m:r>
          </m:sub>
        </m:sSub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</m:oMath>
      <w:r>
        <w:rPr>
          <w:lang w:val="en-US"/>
        </w:rPr>
        <w:t xml:space="preserve">,</w:t>
      </w:r>
      <w:r>
        <w:rPr>
          <w:lang w:val="en-US"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t>20</m:t>
        </m:r>
        <m:r>
          <m:t> </m:t>
        </m:r>
        <m:r>
          <m:t>000</m:t>
        </m:r>
      </m:oMath>
      <w:r>
        <w:rPr>
          <w:lang w:val="en-US"/>
        </w:rPr>
        <w:t xml:space="preserve">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1A1A1A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Attn-PINN for the Unsteady Navier–Stokes Equations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35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4"/>
      <w:szCs w:val="24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  <w:ind w:firstLine="420" w:firstLineChars="20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000000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30"/>
      <w:szCs w:val="3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00000" w:space="8" w:sz="8" w:val="single"/>
      </w:pBdr>
      <w:spacing w:after="240"/>
      <w:jc w:val="center"/>
    </w:pPr>
    <w:rPr>
      <w:color w:val="6B7280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000000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000000"/>
      <w:sz w:val="26"/>
      <w:szCs w:val="26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000000"/>
      <w:sz w:val="26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4"/>
    </w:rPr>
  </w:style>
  <w:style w:styleId="BlockText" w:type="paragraph">
    <w:name w:val="Block Text"/>
    <w:basedOn w:val="BodyText"/>
    <w:next w:val="BodyText"/>
    <w:qFormat/>
    <w:pPr>
      <w:pBdr>
        <w:left w:color="000000" w:space="8" w:sz="18" w:val="single"/>
      </w:pBdr>
      <w:shd w:color="auto" w:fill="E0E0E0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000000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21"/>
      <w:szCs w:val="21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333333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408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000000"/>
      </w:pBdr>
      <w:shd w:val="clear" w:color="auto" w:fill="EDEDED"/>
      <w:spacing w:before="0" w:after="0" w:line="360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000000"/>
      </w:pBdr>
      <w:shd w:val="clear" w:color="auto" w:fill="EDEDED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000000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31" Target="https://doi.org/10.1016/j.jcp.2018.10.045" TargetMode="External" /><Relationship Type="http://schemas.openxmlformats.org/officeDocument/2006/relationships/hyperlink" Id="rId33" Target="https://doi.org/10.1038/s42254-021-00314-5" TargetMode="External" /><Relationship Type="http://schemas.openxmlformats.org/officeDocument/2006/relationships/hyperlink" Id="rId35" Target="https://doi.org/10.1137/20M1318043" TargetMode="External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doi.org/10.1016/j.jcp.2018.10.045" TargetMode="External" /><Relationship Type="http://schemas.openxmlformats.org/officeDocument/2006/relationships/hyperlink" Id="rId33" Target="https://doi.org/10.1038/s42254-021-00314-5" TargetMode="External" /><Relationship Type="http://schemas.openxmlformats.org/officeDocument/2006/relationships/hyperlink" Id="rId35" Target="https://doi.org/10.1137/20M13180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Attention-Weighted Physics-Informed Neural Networks for the Unsteady Navier–Stokes Equations</dc:title>
  <dc:creator>Ming Wang1, Hua Li1,2, Siyuan Chen2</dc:creator>
  <dc:language>en-US</dc:language>
  <cp:keywords/>
  <dcterms:created xsi:type="dcterms:W3CDTF">2026-11-02T05:43:12Z</dcterms:created>
  <dcterms:modified xsi:type="dcterms:W3CDTF">2026-11-02T05:43:12Z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Physics-informed neural networks (PINNs) often fail to converge on unsteady flows at high Reynolds numbers because the gradients of their loss terms are badly out of balance. We propose Attn-PINN, which uses an attention mechanism to weight the residuals adaptively, and prove an upper bound on its approximation error. For flow past a cylinder (\mathrm{Re}=3\,900), Attn-PINN reaches a relative L^2 error of 1.7\times10^{-3} — an order of magnitude below the baseline — while training 41% faster.</vt:lpwstr>
  </property>
  <property fmtid="{D5CDD505-2E9C-101B-9397-08002B2CF9AE}" pid="3" name="bibliography">
    <vt:lpwstr/>
  </property>
  <property fmtid="{D5CDD505-2E9C-101B-9397-08002B2CF9AE}" pid="4" name="csl">
    <vt:lpwstr>/Users/arthur/business-os/md-to-pdf-word/src/docforge/assets/csl/gb-t-7714-2015-numeric.csl</vt:lpwstr>
  </property>
  <property fmtid="{D5CDD505-2E9C-101B-9397-08002B2CF9AE}" pid="5" name="date">
    <vt:lpwstr>September 2026</vt:lpwstr>
  </property>
  <property fmtid="{D5CDD505-2E9C-101B-9397-08002B2CF9AE}" pid="6" name="header-left">
    <vt:lpwstr>Attn-PINN for the Unsteady Navier–Stokes Equations</vt:lpwstr>
  </property>
  <property fmtid="{D5CDD505-2E9C-101B-9397-08002B2CF9AE}" pid="7" name="link-citations">
    <vt:lpwstr>True</vt:lpwstr>
  </property>
  <property fmtid="{D5CDD505-2E9C-101B-9397-08002B2CF9AE}" pid="8" name="number-sections">
    <vt:lpwstr>True</vt:lpwstr>
  </property>
</Properties>
</file>